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rPr>
      </w:pPr>
      <w:r>
        <w:rPr>
          <w:rFonts w:hint="eastAsia" w:ascii="仿宋" w:hAnsi="仿宋" w:eastAsia="仿宋" w:cs="仿宋"/>
        </w:rPr>
        <w:t>`</w:t>
      </w:r>
    </w:p>
    <w:p>
      <w:pPr>
        <w:rPr>
          <w:rFonts w:ascii="仿宋" w:hAnsi="仿宋" w:eastAsia="仿宋" w:cs="仿宋"/>
        </w:rPr>
      </w:pPr>
    </w:p>
    <w:p>
      <w:pPr>
        <w:rPr>
          <w:rFonts w:ascii="仿宋" w:hAnsi="仿宋" w:eastAsia="仿宋" w:cs="仿宋"/>
        </w:rPr>
      </w:pPr>
    </w:p>
    <w:p>
      <w:pPr>
        <w:pStyle w:val="11"/>
        <w:rPr>
          <w:rFonts w:ascii="仿宋" w:hAnsi="仿宋" w:eastAsia="仿宋" w:cs="仿宋"/>
        </w:rPr>
      </w:pPr>
    </w:p>
    <w:p>
      <w:pPr>
        <w:rPr>
          <w:rFonts w:ascii="仿宋" w:hAnsi="仿宋" w:eastAsia="仿宋" w:cs="仿宋"/>
        </w:rPr>
      </w:pPr>
    </w:p>
    <w:p>
      <w:pPr>
        <w:pStyle w:val="11"/>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jc w:val="center"/>
        <w:rPr>
          <w:rFonts w:ascii="仿宋" w:hAnsi="仿宋" w:eastAsia="仿宋" w:cs="仿宋"/>
          <w:b/>
          <w:color w:val="auto"/>
          <w:sz w:val="56"/>
          <w:szCs w:val="56"/>
        </w:rPr>
      </w:pPr>
      <w:r>
        <w:rPr>
          <w:rFonts w:hint="eastAsia" w:ascii="仿宋" w:hAnsi="仿宋" w:eastAsia="仿宋" w:cs="仿宋"/>
          <w:b/>
          <w:color w:val="auto"/>
          <w:sz w:val="56"/>
          <w:szCs w:val="56"/>
        </w:rPr>
        <w:t>竞争性磋商文件</w:t>
      </w:r>
    </w:p>
    <w:p>
      <w:pPr>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pStyle w:val="11"/>
        <w:rPr>
          <w:rFonts w:ascii="仿宋" w:hAnsi="仿宋" w:eastAsia="仿宋" w:cs="仿宋"/>
          <w:color w:val="auto"/>
        </w:rPr>
      </w:pPr>
    </w:p>
    <w:p>
      <w:pPr>
        <w:pStyle w:val="11"/>
        <w:rPr>
          <w:rFonts w:ascii="仿宋" w:hAnsi="仿宋" w:eastAsia="仿宋" w:cs="仿宋"/>
          <w:color w:val="auto"/>
        </w:rPr>
      </w:pPr>
    </w:p>
    <w:p>
      <w:pPr>
        <w:spacing w:line="360" w:lineRule="auto"/>
        <w:jc w:val="left"/>
        <w:rPr>
          <w:rFonts w:ascii="仿宋" w:hAnsi="仿宋" w:eastAsia="仿宋" w:cs="仿宋"/>
          <w:b/>
          <w:color w:val="auto"/>
          <w:sz w:val="32"/>
          <w:szCs w:val="22"/>
        </w:rPr>
      </w:pPr>
    </w:p>
    <w:p>
      <w:pPr>
        <w:spacing w:line="360" w:lineRule="auto"/>
        <w:jc w:val="left"/>
        <w:rPr>
          <w:rFonts w:ascii="仿宋" w:hAnsi="仿宋" w:eastAsia="仿宋" w:cs="仿宋"/>
          <w:b/>
          <w:color w:val="auto"/>
          <w:sz w:val="32"/>
          <w:szCs w:val="22"/>
        </w:rPr>
      </w:pPr>
    </w:p>
    <w:p>
      <w:pPr>
        <w:spacing w:line="360" w:lineRule="auto"/>
        <w:jc w:val="left"/>
        <w:rPr>
          <w:rFonts w:ascii="仿宋" w:hAnsi="仿宋" w:eastAsia="仿宋" w:cs="仿宋"/>
          <w:b/>
          <w:color w:val="auto"/>
          <w:sz w:val="32"/>
          <w:szCs w:val="22"/>
        </w:rPr>
      </w:pPr>
    </w:p>
    <w:p>
      <w:pPr>
        <w:spacing w:line="360" w:lineRule="auto"/>
        <w:jc w:val="left"/>
        <w:rPr>
          <w:rFonts w:ascii="仿宋" w:hAnsi="仿宋" w:eastAsia="仿宋" w:cs="仿宋"/>
          <w:b/>
          <w:color w:val="auto"/>
          <w:sz w:val="32"/>
          <w:szCs w:val="22"/>
        </w:rPr>
      </w:pPr>
    </w:p>
    <w:p>
      <w:pPr>
        <w:spacing w:line="360" w:lineRule="auto"/>
        <w:jc w:val="left"/>
        <w:rPr>
          <w:rFonts w:ascii="仿宋" w:hAnsi="仿宋" w:eastAsia="仿宋" w:cs="仿宋"/>
          <w:b/>
          <w:color w:val="auto"/>
          <w:sz w:val="32"/>
          <w:szCs w:val="22"/>
        </w:rPr>
      </w:pPr>
    </w:p>
    <w:p>
      <w:pPr>
        <w:spacing w:line="360" w:lineRule="auto"/>
        <w:jc w:val="left"/>
        <w:rPr>
          <w:rFonts w:hint="eastAsia" w:ascii="仿宋" w:hAnsi="仿宋" w:eastAsia="仿宋" w:cs="仿宋"/>
          <w:b/>
          <w:color w:val="auto"/>
          <w:sz w:val="32"/>
          <w:szCs w:val="22"/>
        </w:rPr>
      </w:pPr>
    </w:p>
    <w:p>
      <w:pPr>
        <w:spacing w:line="360" w:lineRule="auto"/>
        <w:jc w:val="left"/>
        <w:rPr>
          <w:rFonts w:ascii="仿宋" w:hAnsi="仿宋" w:eastAsia="仿宋" w:cs="仿宋"/>
          <w:b/>
          <w:color w:val="auto"/>
          <w:sz w:val="32"/>
          <w:szCs w:val="22"/>
        </w:rPr>
      </w:pPr>
    </w:p>
    <w:p>
      <w:pPr>
        <w:spacing w:line="360" w:lineRule="auto"/>
        <w:jc w:val="left"/>
        <w:rPr>
          <w:rFonts w:ascii="仿宋" w:hAnsi="仿宋" w:eastAsia="仿宋" w:cs="仿宋"/>
          <w:b/>
          <w:color w:val="auto"/>
          <w:sz w:val="32"/>
          <w:szCs w:val="22"/>
        </w:rPr>
      </w:pPr>
    </w:p>
    <w:p>
      <w:pPr>
        <w:spacing w:line="360" w:lineRule="auto"/>
        <w:jc w:val="left"/>
        <w:rPr>
          <w:rFonts w:ascii="仿宋" w:hAnsi="仿宋" w:eastAsia="仿宋" w:cs="仿宋"/>
          <w:color w:val="auto"/>
        </w:rPr>
      </w:pPr>
      <w:r>
        <w:rPr>
          <w:rFonts w:hint="eastAsia" w:ascii="仿宋" w:hAnsi="仿宋" w:eastAsia="仿宋" w:cs="仿宋"/>
          <w:b/>
          <w:color w:val="auto"/>
          <w:sz w:val="32"/>
          <w:szCs w:val="22"/>
        </w:rPr>
        <w:t>项目名称:扬中市人民医院团体重大疾病保险服务采购项目</w:t>
      </w:r>
    </w:p>
    <w:p>
      <w:pPr>
        <w:rPr>
          <w:rFonts w:ascii="仿宋" w:hAnsi="仿宋" w:eastAsia="仿宋" w:cs="仿宋"/>
          <w:color w:val="auto"/>
        </w:rPr>
      </w:pPr>
    </w:p>
    <w:p>
      <w:pPr>
        <w:pStyle w:val="11"/>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spacing w:before="240" w:after="240"/>
        <w:jc w:val="center"/>
        <w:rPr>
          <w:rFonts w:ascii="仿宋" w:hAnsi="仿宋" w:eastAsia="仿宋" w:cs="仿宋"/>
          <w:b/>
          <w:color w:val="auto"/>
          <w:sz w:val="32"/>
          <w:szCs w:val="32"/>
        </w:rPr>
      </w:pPr>
      <w:r>
        <w:rPr>
          <w:rFonts w:hint="eastAsia" w:ascii="仿宋" w:hAnsi="仿宋" w:eastAsia="仿宋" w:cs="仿宋"/>
          <w:b/>
          <w:color w:val="auto"/>
          <w:sz w:val="32"/>
          <w:szCs w:val="32"/>
        </w:rPr>
        <w:t>扬中市人民医院</w:t>
      </w:r>
    </w:p>
    <w:p>
      <w:pPr>
        <w:spacing w:before="240" w:after="240"/>
        <w:ind w:firstLine="2570" w:firstLineChars="800"/>
        <w:rPr>
          <w:rFonts w:ascii="仿宋" w:hAnsi="仿宋" w:eastAsia="仿宋" w:cs="仿宋"/>
          <w:b/>
          <w:color w:val="auto"/>
          <w:sz w:val="30"/>
          <w:szCs w:val="30"/>
        </w:rPr>
        <w:sectPr>
          <w:headerReference r:id="rId5" w:type="first"/>
          <w:headerReference r:id="rId4" w:type="default"/>
          <w:pgSz w:w="11907" w:h="16840"/>
          <w:pgMar w:top="1440" w:right="1800" w:bottom="1440" w:left="1800" w:header="851" w:footer="992" w:gutter="0"/>
          <w:pgNumType w:start="1"/>
          <w:cols w:space="720" w:num="1"/>
          <w:docGrid w:linePitch="290" w:charSpace="0"/>
        </w:sectPr>
      </w:pPr>
      <w:r>
        <w:rPr>
          <w:rFonts w:hint="eastAsia" w:ascii="仿宋" w:hAnsi="仿宋" w:eastAsia="仿宋" w:cs="仿宋"/>
          <w:b/>
          <w:color w:val="auto"/>
          <w:sz w:val="32"/>
          <w:szCs w:val="32"/>
        </w:rPr>
        <w:t>二○二六年</w:t>
      </w:r>
      <w:r>
        <w:rPr>
          <w:rFonts w:hint="eastAsia" w:ascii="仿宋" w:hAnsi="仿宋" w:eastAsia="仿宋" w:cs="仿宋"/>
          <w:b/>
          <w:color w:val="auto"/>
          <w:sz w:val="32"/>
          <w:szCs w:val="32"/>
          <w:lang w:eastAsia="zh-CN"/>
        </w:rPr>
        <w:t>五</w:t>
      </w:r>
      <w:r>
        <w:rPr>
          <w:rFonts w:hint="eastAsia" w:ascii="仿宋" w:hAnsi="仿宋" w:eastAsia="仿宋" w:cs="仿宋"/>
          <w:b/>
          <w:color w:val="auto"/>
          <w:sz w:val="32"/>
          <w:szCs w:val="32"/>
        </w:rPr>
        <w:t>月</w:t>
      </w:r>
      <w:r>
        <w:rPr>
          <w:rFonts w:hint="eastAsia" w:ascii="仿宋" w:hAnsi="仿宋" w:eastAsia="仿宋" w:cs="仿宋"/>
          <w:b/>
          <w:color w:val="auto"/>
          <w:sz w:val="32"/>
          <w:szCs w:val="32"/>
          <w:lang w:eastAsia="zh-CN"/>
        </w:rPr>
        <w:t>二十一</w:t>
      </w:r>
      <w:r>
        <w:rPr>
          <w:rFonts w:hint="eastAsia" w:ascii="仿宋" w:hAnsi="仿宋" w:eastAsia="仿宋" w:cs="仿宋"/>
          <w:b/>
          <w:color w:val="auto"/>
          <w:sz w:val="32"/>
          <w:szCs w:val="32"/>
        </w:rPr>
        <w:t>日</w:t>
      </w:r>
    </w:p>
    <w:p>
      <w:pPr>
        <w:pStyle w:val="11"/>
        <w:rPr>
          <w:rFonts w:ascii="仿宋" w:hAnsi="仿宋" w:eastAsia="仿宋" w:cs="仿宋"/>
          <w:color w:val="auto"/>
        </w:rPr>
      </w:pPr>
    </w:p>
    <w:p>
      <w:pPr>
        <w:spacing w:before="240" w:after="240"/>
        <w:jc w:val="center"/>
        <w:rPr>
          <w:rFonts w:ascii="仿宋" w:hAnsi="仿宋" w:eastAsia="仿宋" w:cs="仿宋"/>
          <w:b/>
          <w:color w:val="auto"/>
          <w:sz w:val="40"/>
          <w:szCs w:val="22"/>
        </w:rPr>
      </w:pPr>
      <w:r>
        <w:rPr>
          <w:rFonts w:hint="eastAsia" w:ascii="仿宋" w:hAnsi="仿宋" w:eastAsia="仿宋" w:cs="仿宋"/>
          <w:b/>
          <w:color w:val="auto"/>
          <w:sz w:val="32"/>
          <w:szCs w:val="32"/>
        </w:rPr>
        <w:t>磋商文件目录</w:t>
      </w:r>
    </w:p>
    <w:p>
      <w:pPr>
        <w:pStyle w:val="24"/>
        <w:tabs>
          <w:tab w:val="right" w:leader="dot" w:pos="8337"/>
        </w:tabs>
        <w:adjustRightInd w:val="0"/>
        <w:snapToGrid w:val="0"/>
        <w:spacing w:line="360" w:lineRule="auto"/>
        <w:rPr>
          <w:rFonts w:ascii="仿宋" w:hAnsi="仿宋" w:eastAsia="仿宋" w:cs="仿宋"/>
          <w:color w:val="auto"/>
          <w:sz w:val="28"/>
          <w:szCs w:val="28"/>
        </w:rPr>
      </w:pPr>
      <w:bookmarkStart w:id="0" w:name="_Toc105940806"/>
      <w:bookmarkStart w:id="1" w:name="_Toc100386033"/>
      <w:bookmarkStart w:id="2" w:name="_Toc92167999"/>
      <w:bookmarkStart w:id="3" w:name="_Toc20732967"/>
      <w:r>
        <w:rPr>
          <w:rFonts w:hint="eastAsia" w:ascii="仿宋" w:hAnsi="仿宋" w:eastAsia="仿宋" w:cs="仿宋"/>
          <w:color w:val="auto"/>
          <w:sz w:val="24"/>
          <w:szCs w:val="21"/>
        </w:rPr>
        <w:fldChar w:fldCharType="begin"/>
      </w:r>
      <w:r>
        <w:rPr>
          <w:rFonts w:hint="eastAsia" w:ascii="仿宋" w:hAnsi="仿宋" w:eastAsia="仿宋" w:cs="仿宋"/>
          <w:color w:val="auto"/>
          <w:sz w:val="24"/>
          <w:szCs w:val="21"/>
        </w:rPr>
        <w:instrText xml:space="preserve"> TOC \o "1-1" \h \z \u </w:instrText>
      </w:r>
      <w:r>
        <w:rPr>
          <w:rFonts w:hint="eastAsia" w:ascii="仿宋" w:hAnsi="仿宋" w:eastAsia="仿宋" w:cs="仿宋"/>
          <w:color w:val="auto"/>
          <w:sz w:val="24"/>
          <w:szCs w:val="21"/>
        </w:rPr>
        <w:fldChar w:fldCharType="separate"/>
      </w:r>
      <w:r>
        <w:rPr>
          <w:color w:val="auto"/>
        </w:rPr>
        <w:fldChar w:fldCharType="begin"/>
      </w:r>
      <w:r>
        <w:rPr>
          <w:color w:val="auto"/>
        </w:rPr>
        <w:instrText xml:space="preserve"> HYPERLINK \l "_Toc19099" </w:instrText>
      </w:r>
      <w:r>
        <w:rPr>
          <w:color w:val="auto"/>
        </w:rPr>
        <w:fldChar w:fldCharType="separate"/>
      </w:r>
      <w:r>
        <w:rPr>
          <w:rFonts w:hint="eastAsia" w:ascii="仿宋" w:hAnsi="仿宋" w:eastAsia="仿宋" w:cs="仿宋"/>
          <w:color w:val="auto"/>
          <w:sz w:val="28"/>
          <w:szCs w:val="28"/>
        </w:rPr>
        <w:t>第一部分  磋商邀请</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_Toc19099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tabs>
          <w:tab w:val="right" w:leader="dot" w:pos="8337"/>
        </w:tabs>
        <w:adjustRightInd w:val="0"/>
        <w:snapToGrid w:val="0"/>
        <w:spacing w:line="360" w:lineRule="auto"/>
        <w:rPr>
          <w:rFonts w:ascii="仿宋" w:hAnsi="仿宋" w:eastAsia="仿宋" w:cs="仿宋"/>
          <w:color w:val="auto"/>
          <w:sz w:val="28"/>
          <w:szCs w:val="28"/>
        </w:rPr>
      </w:pPr>
      <w:r>
        <w:rPr>
          <w:color w:val="auto"/>
        </w:rPr>
        <w:fldChar w:fldCharType="begin"/>
      </w:r>
      <w:r>
        <w:rPr>
          <w:color w:val="auto"/>
        </w:rPr>
        <w:instrText xml:space="preserve"> HYPERLINK \l "_Toc7461" </w:instrText>
      </w:r>
      <w:r>
        <w:rPr>
          <w:color w:val="auto"/>
        </w:rPr>
        <w:fldChar w:fldCharType="separate"/>
      </w:r>
      <w:r>
        <w:rPr>
          <w:rFonts w:hint="eastAsia" w:ascii="仿宋" w:hAnsi="仿宋" w:eastAsia="仿宋" w:cs="仿宋"/>
          <w:color w:val="auto"/>
          <w:sz w:val="28"/>
          <w:szCs w:val="28"/>
        </w:rPr>
        <w:t>第二部分  供应商须知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_Toc7461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tabs>
          <w:tab w:val="right" w:leader="dot" w:pos="8337"/>
        </w:tabs>
        <w:adjustRightInd w:val="0"/>
        <w:snapToGrid w:val="0"/>
        <w:spacing w:line="360" w:lineRule="auto"/>
        <w:rPr>
          <w:rFonts w:ascii="仿宋" w:hAnsi="仿宋" w:eastAsia="仿宋" w:cs="仿宋"/>
          <w:color w:val="auto"/>
          <w:sz w:val="28"/>
          <w:szCs w:val="28"/>
        </w:rPr>
      </w:pPr>
      <w:r>
        <w:rPr>
          <w:color w:val="auto"/>
        </w:rPr>
        <w:fldChar w:fldCharType="begin"/>
      </w:r>
      <w:r>
        <w:rPr>
          <w:color w:val="auto"/>
        </w:rPr>
        <w:instrText xml:space="preserve"> HYPERLINK \l "_Toc19042" </w:instrText>
      </w:r>
      <w:r>
        <w:rPr>
          <w:color w:val="auto"/>
        </w:rPr>
        <w:fldChar w:fldCharType="separate"/>
      </w:r>
      <w:r>
        <w:rPr>
          <w:rFonts w:hint="eastAsia" w:ascii="仿宋" w:hAnsi="仿宋" w:eastAsia="仿宋" w:cs="仿宋"/>
          <w:color w:val="auto"/>
          <w:sz w:val="28"/>
          <w:szCs w:val="28"/>
        </w:rPr>
        <w:t>第三部分  合同</w:t>
      </w:r>
      <w:r>
        <w:rPr>
          <w:rFonts w:hint="eastAsia" w:ascii="仿宋" w:hAnsi="仿宋" w:eastAsia="仿宋" w:cs="仿宋"/>
          <w:color w:val="auto"/>
          <w:sz w:val="28"/>
          <w:szCs w:val="28"/>
        </w:rPr>
        <w:tab/>
      </w:r>
      <w:r>
        <w:rPr>
          <w:rFonts w:hint="eastAsia" w:ascii="仿宋" w:hAnsi="仿宋" w:eastAsia="仿宋" w:cs="仿宋"/>
          <w:color w:val="auto"/>
          <w:sz w:val="28"/>
          <w:szCs w:val="28"/>
        </w:rPr>
        <w:t>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2</w:t>
      </w:r>
    </w:p>
    <w:p>
      <w:pPr>
        <w:pStyle w:val="24"/>
        <w:tabs>
          <w:tab w:val="right" w:leader="dot" w:pos="8337"/>
        </w:tabs>
        <w:adjustRightInd w:val="0"/>
        <w:snapToGrid w:val="0"/>
        <w:spacing w:line="360" w:lineRule="auto"/>
        <w:rPr>
          <w:rFonts w:ascii="仿宋" w:hAnsi="仿宋" w:eastAsia="仿宋" w:cs="仿宋"/>
          <w:color w:val="auto"/>
          <w:sz w:val="28"/>
          <w:szCs w:val="28"/>
        </w:rPr>
      </w:pPr>
      <w:r>
        <w:rPr>
          <w:color w:val="auto"/>
        </w:rPr>
        <w:fldChar w:fldCharType="begin"/>
      </w:r>
      <w:r>
        <w:rPr>
          <w:color w:val="auto"/>
        </w:rPr>
        <w:instrText xml:space="preserve"> HYPERLINK \l "_Toc6030" </w:instrText>
      </w:r>
      <w:r>
        <w:rPr>
          <w:color w:val="auto"/>
        </w:rPr>
        <w:fldChar w:fldCharType="separate"/>
      </w:r>
      <w:r>
        <w:rPr>
          <w:rFonts w:hint="eastAsia" w:ascii="仿宋" w:hAnsi="仿宋" w:eastAsia="仿宋" w:cs="仿宋"/>
          <w:color w:val="auto"/>
          <w:sz w:val="28"/>
          <w:szCs w:val="28"/>
        </w:rPr>
        <w:t>第四部分  项目采购需求</w:t>
      </w:r>
      <w:r>
        <w:rPr>
          <w:rFonts w:hint="eastAsia" w:ascii="仿宋" w:hAnsi="仿宋" w:eastAsia="仿宋" w:cs="仿宋"/>
          <w:color w:val="auto"/>
          <w:sz w:val="28"/>
          <w:szCs w:val="28"/>
        </w:rPr>
        <w:tab/>
      </w:r>
      <w:r>
        <w:rPr>
          <w:rFonts w:hint="eastAsia" w:ascii="仿宋" w:hAnsi="仿宋" w:eastAsia="仿宋" w:cs="仿宋"/>
          <w:color w:val="auto"/>
          <w:sz w:val="28"/>
          <w:szCs w:val="28"/>
        </w:rPr>
        <w:t>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3</w:t>
      </w:r>
    </w:p>
    <w:p>
      <w:pPr>
        <w:pStyle w:val="24"/>
        <w:tabs>
          <w:tab w:val="right" w:leader="dot" w:pos="8337"/>
        </w:tabs>
        <w:adjustRightInd w:val="0"/>
        <w:snapToGrid w:val="0"/>
        <w:spacing w:line="360" w:lineRule="auto"/>
        <w:rPr>
          <w:rFonts w:ascii="仿宋" w:hAnsi="仿宋" w:eastAsia="仿宋" w:cs="仿宋"/>
          <w:color w:val="auto"/>
        </w:rPr>
      </w:pPr>
      <w:r>
        <w:rPr>
          <w:color w:val="auto"/>
        </w:rPr>
        <w:fldChar w:fldCharType="begin"/>
      </w:r>
      <w:r>
        <w:rPr>
          <w:color w:val="auto"/>
        </w:rPr>
        <w:instrText xml:space="preserve"> HYPERLINK \l "_Toc10005" </w:instrText>
      </w:r>
      <w:r>
        <w:rPr>
          <w:color w:val="auto"/>
        </w:rPr>
        <w:fldChar w:fldCharType="separate"/>
      </w:r>
      <w:r>
        <w:rPr>
          <w:rFonts w:hint="eastAsia" w:ascii="仿宋" w:hAnsi="仿宋" w:eastAsia="仿宋" w:cs="仿宋"/>
          <w:color w:val="auto"/>
          <w:sz w:val="28"/>
          <w:szCs w:val="28"/>
        </w:rPr>
        <w:t>第五部分  磋商响应文件（格式）</w:t>
      </w:r>
      <w:r>
        <w:rPr>
          <w:rFonts w:hint="eastAsia" w:ascii="仿宋" w:hAnsi="仿宋" w:eastAsia="仿宋" w:cs="仿宋"/>
          <w:color w:val="auto"/>
          <w:sz w:val="28"/>
          <w:szCs w:val="28"/>
        </w:rPr>
        <w:tab/>
      </w:r>
      <w:r>
        <w:rPr>
          <w:rFonts w:hint="eastAsia" w:ascii="仿宋" w:hAnsi="仿宋" w:eastAsia="仿宋" w:cs="仿宋"/>
          <w:color w:val="auto"/>
          <w:sz w:val="28"/>
          <w:szCs w:val="28"/>
        </w:rPr>
        <w:t>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5</w:t>
      </w:r>
    </w:p>
    <w:p>
      <w:pPr>
        <w:rPr>
          <w:rFonts w:ascii="仿宋" w:hAnsi="仿宋" w:eastAsia="仿宋" w:cs="仿宋"/>
          <w:b/>
          <w:bCs/>
          <w:color w:val="auto"/>
          <w:sz w:val="24"/>
          <w:szCs w:val="21"/>
        </w:rPr>
      </w:pPr>
      <w:r>
        <w:rPr>
          <w:rFonts w:hint="eastAsia" w:ascii="仿宋" w:hAnsi="仿宋" w:eastAsia="仿宋" w:cs="仿宋"/>
          <w:color w:val="auto"/>
          <w:szCs w:val="21"/>
        </w:rPr>
        <w:fldChar w:fldCharType="end"/>
      </w:r>
    </w:p>
    <w:p>
      <w:pPr>
        <w:pStyle w:val="30"/>
        <w:tabs>
          <w:tab w:val="right" w:leader="dot" w:pos="9061"/>
        </w:tabs>
        <w:ind w:left="0" w:leftChars="0"/>
        <w:rPr>
          <w:rFonts w:ascii="仿宋" w:hAnsi="仿宋" w:eastAsia="仿宋" w:cs="仿宋"/>
          <w:bCs/>
          <w:color w:val="auto"/>
          <w:sz w:val="24"/>
          <w:szCs w:val="21"/>
        </w:rPr>
      </w:pPr>
    </w:p>
    <w:p>
      <w:pPr>
        <w:rPr>
          <w:rFonts w:ascii="仿宋" w:hAnsi="仿宋" w:eastAsia="仿宋" w:cs="仿宋"/>
          <w:bCs/>
          <w:color w:val="auto"/>
          <w:sz w:val="24"/>
          <w:szCs w:val="21"/>
        </w:rPr>
      </w:pPr>
    </w:p>
    <w:p>
      <w:pPr>
        <w:rPr>
          <w:rFonts w:ascii="仿宋" w:hAnsi="仿宋" w:eastAsia="仿宋" w:cs="仿宋"/>
          <w:bCs/>
          <w:color w:val="auto"/>
          <w:sz w:val="24"/>
          <w:szCs w:val="21"/>
        </w:rPr>
      </w:pPr>
    </w:p>
    <w:p>
      <w:pPr>
        <w:rPr>
          <w:rFonts w:ascii="仿宋" w:hAnsi="仿宋" w:eastAsia="仿宋" w:cs="仿宋"/>
          <w:bCs/>
          <w:color w:val="auto"/>
          <w:sz w:val="24"/>
          <w:szCs w:val="21"/>
        </w:rPr>
      </w:pPr>
    </w:p>
    <w:p>
      <w:pPr>
        <w:rPr>
          <w:rFonts w:ascii="仿宋" w:hAnsi="仿宋" w:eastAsia="仿宋" w:cs="仿宋"/>
          <w:bCs/>
          <w:color w:val="auto"/>
          <w:sz w:val="24"/>
          <w:szCs w:val="21"/>
        </w:rPr>
      </w:pPr>
    </w:p>
    <w:p>
      <w:pPr>
        <w:rPr>
          <w:rFonts w:ascii="仿宋" w:hAnsi="仿宋" w:eastAsia="仿宋" w:cs="仿宋"/>
          <w:bCs/>
          <w:color w:val="auto"/>
          <w:sz w:val="24"/>
          <w:szCs w:val="21"/>
        </w:rPr>
      </w:pPr>
    </w:p>
    <w:p>
      <w:pPr>
        <w:rPr>
          <w:rFonts w:ascii="仿宋" w:hAnsi="仿宋" w:eastAsia="仿宋" w:cs="仿宋"/>
          <w:bCs/>
          <w:color w:val="auto"/>
          <w:sz w:val="24"/>
          <w:szCs w:val="21"/>
        </w:rPr>
      </w:pPr>
    </w:p>
    <w:p>
      <w:pPr>
        <w:spacing w:line="360" w:lineRule="auto"/>
        <w:jc w:val="center"/>
        <w:outlineLvl w:val="0"/>
        <w:rPr>
          <w:rStyle w:val="45"/>
          <w:rFonts w:ascii="仿宋" w:hAnsi="仿宋" w:eastAsia="仿宋" w:cs="仿宋"/>
          <w:color w:val="auto"/>
          <w:szCs w:val="32"/>
        </w:rPr>
      </w:pPr>
      <w:r>
        <w:rPr>
          <w:rFonts w:hint="eastAsia" w:ascii="仿宋" w:hAnsi="仿宋" w:eastAsia="仿宋" w:cs="仿宋"/>
          <w:bCs/>
          <w:color w:val="auto"/>
          <w:sz w:val="24"/>
          <w:szCs w:val="21"/>
        </w:rPr>
        <w:br w:type="page"/>
      </w:r>
      <w:bookmarkEnd w:id="0"/>
      <w:bookmarkStart w:id="4" w:name="_Toc19099"/>
      <w:r>
        <w:rPr>
          <w:rStyle w:val="45"/>
          <w:rFonts w:hint="eastAsia" w:ascii="仿宋" w:hAnsi="仿宋" w:eastAsia="仿宋" w:cs="仿宋"/>
          <w:color w:val="auto"/>
          <w:szCs w:val="32"/>
        </w:rPr>
        <w:t>第一部分  磋商邀请</w:t>
      </w:r>
      <w:bookmarkEnd w:id="4"/>
    </w:p>
    <w:bookmarkEnd w:id="1"/>
    <w:bookmarkEnd w:id="2"/>
    <w:bookmarkEnd w:id="3"/>
    <w:p>
      <w:pPr>
        <w:wordWrap w:val="0"/>
        <w:adjustRightInd w:val="0"/>
        <w:snapToGrid w:val="0"/>
        <w:spacing w:line="360" w:lineRule="auto"/>
        <w:ind w:firstLine="480" w:firstLineChars="200"/>
        <w:rPr>
          <w:rFonts w:ascii="仿宋" w:hAnsi="仿宋" w:eastAsia="仿宋" w:cs="仿宋"/>
          <w:b/>
          <w:bCs/>
          <w:color w:val="auto"/>
          <w:sz w:val="24"/>
        </w:rPr>
      </w:pPr>
      <w:bookmarkStart w:id="5" w:name="_Toc98669699"/>
      <w:bookmarkStart w:id="6" w:name="_Toc100386044"/>
      <w:bookmarkStart w:id="7" w:name="_Toc98669341"/>
      <w:bookmarkStart w:id="8" w:name="_Toc92168010"/>
      <w:bookmarkStart w:id="9" w:name="_Toc20732978"/>
      <w:r>
        <w:rPr>
          <w:rFonts w:hint="eastAsia" w:ascii="仿宋" w:hAnsi="仿宋" w:eastAsia="仿宋" w:cs="仿宋"/>
          <w:color w:val="auto"/>
          <w:sz w:val="24"/>
          <w:szCs w:val="28"/>
          <w:u w:val="single"/>
        </w:rPr>
        <w:t>扬中市人民医院拟</w:t>
      </w:r>
      <w:r>
        <w:rPr>
          <w:rFonts w:hint="eastAsia" w:ascii="仿宋" w:hAnsi="仿宋" w:eastAsia="仿宋" w:cs="仿宋"/>
          <w:color w:val="auto"/>
          <w:sz w:val="24"/>
          <w:szCs w:val="28"/>
        </w:rPr>
        <w:t>对</w:t>
      </w:r>
      <w:r>
        <w:rPr>
          <w:rFonts w:hint="eastAsia" w:ascii="仿宋" w:hAnsi="仿宋" w:eastAsia="仿宋" w:cs="仿宋"/>
          <w:color w:val="auto"/>
          <w:sz w:val="24"/>
          <w:szCs w:val="28"/>
          <w:u w:val="single"/>
        </w:rPr>
        <w:t>团体重大疾病保险服务采购项目</w:t>
      </w:r>
      <w:r>
        <w:rPr>
          <w:rFonts w:hint="eastAsia" w:ascii="仿宋" w:hAnsi="仿宋" w:eastAsia="仿宋" w:cs="仿宋"/>
          <w:color w:val="auto"/>
          <w:sz w:val="24"/>
          <w:szCs w:val="28"/>
        </w:rPr>
        <w:t>采用</w:t>
      </w:r>
      <w:r>
        <w:rPr>
          <w:rFonts w:hint="eastAsia" w:ascii="仿宋" w:hAnsi="仿宋" w:eastAsia="仿宋" w:cs="仿宋"/>
          <w:color w:val="auto"/>
          <w:sz w:val="24"/>
          <w:u w:val="single"/>
          <w:lang w:val="zh-CN"/>
        </w:rPr>
        <w:t>竞争性磋商</w:t>
      </w:r>
      <w:r>
        <w:rPr>
          <w:rFonts w:hint="eastAsia" w:ascii="仿宋" w:hAnsi="仿宋" w:eastAsia="仿宋" w:cs="仿宋"/>
          <w:color w:val="auto"/>
          <w:sz w:val="24"/>
          <w:szCs w:val="28"/>
        </w:rPr>
        <w:t>方式采购，欢迎有资格的供应商前来参加投标。</w:t>
      </w:r>
    </w:p>
    <w:p>
      <w:pPr>
        <w:numPr>
          <w:ilvl w:val="0"/>
          <w:numId w:val="1"/>
        </w:numPr>
        <w:adjustRightInd w:val="0"/>
        <w:snapToGrid w:val="0"/>
        <w:spacing w:line="360" w:lineRule="auto"/>
        <w:jc w:val="left"/>
        <w:outlineLvl w:val="2"/>
        <w:rPr>
          <w:rFonts w:ascii="仿宋" w:hAnsi="仿宋" w:eastAsia="仿宋" w:cs="仿宋"/>
          <w:b/>
          <w:bCs/>
          <w:color w:val="auto"/>
          <w:sz w:val="24"/>
        </w:rPr>
      </w:pPr>
      <w:r>
        <w:rPr>
          <w:rFonts w:hint="eastAsia" w:ascii="仿宋" w:hAnsi="仿宋" w:eastAsia="仿宋" w:cs="仿宋"/>
          <w:b/>
          <w:bCs/>
          <w:color w:val="auto"/>
          <w:sz w:val="24"/>
        </w:rPr>
        <w:t>项目基本情况</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项目名称：扬中市人民医院团体重大疾病保险服务采购项目</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采购方式：竞争性磋商</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预算金额：16.</w:t>
      </w:r>
      <w:r>
        <w:rPr>
          <w:rFonts w:ascii="仿宋" w:hAnsi="仿宋" w:eastAsia="仿宋" w:cs="仿宋"/>
          <w:color w:val="auto"/>
          <w:sz w:val="24"/>
        </w:rPr>
        <w:t>5</w:t>
      </w:r>
      <w:r>
        <w:rPr>
          <w:rFonts w:hint="eastAsia" w:ascii="仿宋" w:hAnsi="仿宋" w:eastAsia="仿宋" w:cs="仿宋"/>
          <w:color w:val="auto"/>
          <w:sz w:val="24"/>
        </w:rPr>
        <w:t>万元</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采购需求：详细内容及要求见磋商文件第四部分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合同履行期限：1年</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本项目是否接受联合体：☑不接受</w:t>
      </w:r>
    </w:p>
    <w:p>
      <w:pPr>
        <w:adjustRightInd w:val="0"/>
        <w:snapToGrid w:val="0"/>
        <w:spacing w:line="360" w:lineRule="auto"/>
        <w:jc w:val="left"/>
        <w:outlineLvl w:val="2"/>
        <w:rPr>
          <w:rFonts w:ascii="仿宋" w:hAnsi="仿宋" w:eastAsia="仿宋" w:cs="仿宋"/>
          <w:b/>
          <w:bCs/>
          <w:color w:val="auto"/>
          <w:sz w:val="24"/>
        </w:rPr>
      </w:pPr>
      <w:r>
        <w:rPr>
          <w:rFonts w:hint="eastAsia" w:ascii="仿宋" w:hAnsi="仿宋" w:eastAsia="仿宋" w:cs="仿宋"/>
          <w:b/>
          <w:bCs/>
          <w:color w:val="auto"/>
          <w:sz w:val="24"/>
        </w:rPr>
        <w:t>二、申请人的资格要求</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widowControl/>
        <w:kinsoku w:val="0"/>
        <w:autoSpaceDE w:val="0"/>
        <w:autoSpaceDN w:val="0"/>
        <w:adjustRightInd w:val="0"/>
        <w:snapToGrid w:val="0"/>
        <w:spacing w:line="360" w:lineRule="auto"/>
        <w:ind w:firstLine="480" w:firstLineChars="200"/>
        <w:textAlignment w:val="baseline"/>
        <w:rPr>
          <w:rFonts w:ascii="仿宋" w:hAnsi="仿宋" w:eastAsia="仿宋" w:cs="仿宋"/>
          <w:color w:val="auto"/>
        </w:rPr>
      </w:pPr>
      <w:r>
        <w:rPr>
          <w:rFonts w:hint="eastAsia" w:ascii="仿宋" w:hAnsi="仿宋" w:eastAsia="仿宋" w:cs="仿宋"/>
          <w:color w:val="auto"/>
          <w:sz w:val="24"/>
        </w:rPr>
        <w:t>(1)具有独立承担民事责任的能力(提供法人或者其他组织的营业执照等证明文件扫描件；供应商为自然人的，提供其身份证扫描件)</w:t>
      </w:r>
    </w:p>
    <w:p>
      <w:pPr>
        <w:widowControl/>
        <w:kinsoku w:val="0"/>
        <w:autoSpaceDE w:val="0"/>
        <w:autoSpaceDN w:val="0"/>
        <w:adjustRightInd w:val="0"/>
        <w:snapToGrid w:val="0"/>
        <w:spacing w:line="360" w:lineRule="auto"/>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(2)具有良好的商业信誉和健全的财务会计制度(提供2024年或2025年度财务报告，成立不满一年的提供至少一个月财务报告，或银行出具的资信证明，或财政部门认可的政府采购专业担保机构出具的投标担保函等或提供资格承诺函)；</w:t>
      </w:r>
    </w:p>
    <w:p>
      <w:pPr>
        <w:widowControl/>
        <w:kinsoku w:val="0"/>
        <w:autoSpaceDE w:val="0"/>
        <w:autoSpaceDN w:val="0"/>
        <w:adjustRightInd w:val="0"/>
        <w:snapToGrid w:val="0"/>
        <w:spacing w:line="360" w:lineRule="auto"/>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(3)具有履行合同所必需的设备和专业技术能力(见供应商相关信息一览表或提供资格承诺函)；</w:t>
      </w:r>
      <w:r>
        <w:rPr>
          <w:rFonts w:hint="eastAsia" w:ascii="仿宋" w:hAnsi="仿宋" w:eastAsia="仿宋" w:cs="仿宋"/>
          <w:color w:val="auto"/>
          <w:sz w:val="24"/>
        </w:rPr>
        <w:tab/>
      </w:r>
    </w:p>
    <w:p>
      <w:pPr>
        <w:widowControl/>
        <w:kinsoku w:val="0"/>
        <w:autoSpaceDE w:val="0"/>
        <w:autoSpaceDN w:val="0"/>
        <w:adjustRightInd w:val="0"/>
        <w:snapToGrid w:val="0"/>
        <w:spacing w:line="360" w:lineRule="auto"/>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(4)有依法缴纳税收和社会保障资金的良好记录(提供参加本次政府采购活动前半年内至少一个月依法缴纳税收和社会保险的凭据或提供资格承诺函);</w:t>
      </w:r>
    </w:p>
    <w:p>
      <w:pPr>
        <w:widowControl/>
        <w:kinsoku w:val="0"/>
        <w:autoSpaceDE w:val="0"/>
        <w:autoSpaceDN w:val="0"/>
        <w:adjustRightInd w:val="0"/>
        <w:snapToGrid w:val="0"/>
        <w:spacing w:line="360" w:lineRule="auto"/>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(5)参加政府采购活动前三年内，在经营活动中没有重大违法记录(见投标函或提供资格承诺函);</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2、落实政府采购政策需满足的资格要求：</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(1)本项目面向所有供应商采购。</w:t>
      </w:r>
    </w:p>
    <w:p>
      <w:pPr>
        <w:widowControl/>
        <w:kinsoku w:val="0"/>
        <w:autoSpaceDE w:val="0"/>
        <w:autoSpaceDN w:val="0"/>
        <w:adjustRightInd w:val="0"/>
        <w:snapToGrid w:val="0"/>
        <w:spacing w:line="360" w:lineRule="auto"/>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(2)根据《财政部司法部关于政府采购支持监狱企业发展有关问题的通知》(财库〔2014〕68号)要求，监狱和戒毒企业视同小型、微型企业。监狱和戒毒企业应当提供由省级以上监狱管理局、戒毒管理局(含新疆生产建设兵团)出具的属于监狱企业的证明文件。</w:t>
      </w:r>
    </w:p>
    <w:p>
      <w:pPr>
        <w:widowControl/>
        <w:kinsoku w:val="0"/>
        <w:autoSpaceDE w:val="0"/>
        <w:autoSpaceDN w:val="0"/>
        <w:adjustRightInd w:val="0"/>
        <w:snapToGrid w:val="0"/>
        <w:spacing w:line="360" w:lineRule="auto"/>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(3)根据《关于促进残疾人就业政府采购政策的通知》(财库〔2017〕141号)要求，残疾人福利性单位视同小型、微型企业。符合条件的残疾人福利性单位应当提供《残疾人福利性单位声明函》，并对声明的真实性负责。</w:t>
      </w:r>
    </w:p>
    <w:p>
      <w:pPr>
        <w:widowControl/>
        <w:kinsoku w:val="0"/>
        <w:autoSpaceDE w:val="0"/>
        <w:autoSpaceDN w:val="0"/>
        <w:adjustRightInd w:val="0"/>
        <w:snapToGrid w:val="0"/>
        <w:spacing w:line="360" w:lineRule="auto"/>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注：本条所称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13"/>
        <w:spacing w:line="360" w:lineRule="auto"/>
        <w:ind w:firstLine="480" w:firstLineChars="200"/>
        <w:rPr>
          <w:rFonts w:ascii="仿宋" w:hAnsi="仿宋" w:eastAsia="仿宋" w:cs="仿宋"/>
          <w:b/>
          <w:bCs/>
          <w:color w:val="auto"/>
          <w:sz w:val="24"/>
        </w:rPr>
      </w:pPr>
      <w:r>
        <w:rPr>
          <w:rFonts w:hint="eastAsia" w:ascii="仿宋" w:hAnsi="仿宋" w:eastAsia="仿宋" w:cs="仿宋"/>
          <w:color w:val="auto"/>
          <w:sz w:val="24"/>
        </w:rPr>
        <w:t>3、本项目的特定资格要求：</w:t>
      </w:r>
    </w:p>
    <w:p>
      <w:pPr>
        <w:pStyle w:val="13"/>
        <w:spacing w:line="360" w:lineRule="auto"/>
        <w:ind w:firstLine="480" w:firstLineChars="200"/>
        <w:rPr>
          <w:rFonts w:ascii="仿宋" w:hAnsi="仿宋" w:eastAsia="仿宋" w:cs="仿宋"/>
          <w:color w:val="auto"/>
          <w:sz w:val="24"/>
          <w:szCs w:val="28"/>
        </w:rPr>
      </w:pPr>
      <w:r>
        <w:rPr>
          <w:rFonts w:hint="eastAsia" w:ascii="仿宋" w:hAnsi="仿宋" w:eastAsia="仿宋" w:cs="仿宋"/>
          <w:color w:val="auto"/>
          <w:sz w:val="24"/>
          <w:szCs w:val="28"/>
        </w:rPr>
        <w:t>合格的供应商须经中国银行保险监督管理委员会批准的在镇江市具备</w:t>
      </w:r>
      <w:bookmarkStart w:id="10" w:name="bookmark8"/>
      <w:bookmarkEnd w:id="10"/>
      <w:r>
        <w:rPr>
          <w:rFonts w:hint="eastAsia" w:ascii="仿宋" w:hAnsi="仿宋" w:eastAsia="仿宋" w:cs="仿宋"/>
          <w:color w:val="auto"/>
          <w:sz w:val="24"/>
          <w:szCs w:val="28"/>
        </w:rPr>
        <w:t>经营</w:t>
      </w:r>
      <w:r>
        <w:rPr>
          <w:rFonts w:hint="eastAsia" w:ascii="仿宋" w:hAnsi="仿宋" w:eastAsia="仿宋" w:cs="仿宋"/>
          <w:color w:val="FF0000"/>
          <w:sz w:val="24"/>
          <w:szCs w:val="28"/>
          <w:lang w:eastAsia="zh-CN"/>
        </w:rPr>
        <w:t>健康</w:t>
      </w:r>
      <w:r>
        <w:rPr>
          <w:rFonts w:hint="eastAsia" w:ascii="仿宋" w:hAnsi="仿宋" w:eastAsia="仿宋" w:cs="仿宋"/>
          <w:color w:val="FF0000"/>
          <w:sz w:val="24"/>
          <w:szCs w:val="28"/>
        </w:rPr>
        <w:t>保险和意外</w:t>
      </w:r>
      <w:r>
        <w:rPr>
          <w:rFonts w:hint="eastAsia" w:ascii="仿宋" w:hAnsi="仿宋" w:eastAsia="仿宋" w:cs="仿宋"/>
          <w:color w:val="FF0000"/>
          <w:sz w:val="24"/>
          <w:szCs w:val="28"/>
          <w:lang w:eastAsia="zh-CN"/>
        </w:rPr>
        <w:t>伤害</w:t>
      </w:r>
      <w:r>
        <w:rPr>
          <w:rFonts w:hint="eastAsia" w:ascii="仿宋" w:hAnsi="仿宋" w:eastAsia="仿宋" w:cs="仿宋"/>
          <w:color w:val="FF0000"/>
          <w:sz w:val="24"/>
          <w:szCs w:val="28"/>
        </w:rPr>
        <w:t>保险</w:t>
      </w:r>
      <w:r>
        <w:rPr>
          <w:rFonts w:hint="eastAsia" w:ascii="仿宋" w:hAnsi="仿宋" w:eastAsia="仿宋" w:cs="仿宋"/>
          <w:color w:val="auto"/>
          <w:sz w:val="24"/>
          <w:szCs w:val="28"/>
        </w:rPr>
        <w:t>资格的保险机构。</w:t>
      </w:r>
    </w:p>
    <w:p>
      <w:pPr>
        <w:adjustRightInd w:val="0"/>
        <w:snapToGrid w:val="0"/>
        <w:spacing w:line="360" w:lineRule="auto"/>
        <w:jc w:val="left"/>
        <w:outlineLvl w:val="2"/>
        <w:rPr>
          <w:rFonts w:ascii="仿宋" w:hAnsi="仿宋" w:eastAsia="仿宋" w:cs="仿宋"/>
          <w:b/>
          <w:bCs/>
          <w:color w:val="auto"/>
          <w:sz w:val="24"/>
        </w:rPr>
      </w:pPr>
      <w:r>
        <w:rPr>
          <w:rFonts w:hint="eastAsia" w:ascii="仿宋" w:hAnsi="仿宋" w:eastAsia="仿宋" w:cs="仿宋"/>
          <w:b/>
          <w:bCs/>
          <w:color w:val="auto"/>
          <w:sz w:val="24"/>
        </w:rPr>
        <w:t>三、获取采购文件</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1、时间：即公告发布之日起日起至2026年</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5</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28</w:t>
      </w:r>
      <w:r>
        <w:rPr>
          <w:rFonts w:hint="eastAsia" w:ascii="仿宋" w:hAnsi="仿宋" w:eastAsia="仿宋" w:cs="仿宋"/>
          <w:color w:val="auto"/>
          <w:sz w:val="24"/>
          <w:u w:val="single"/>
        </w:rPr>
        <w:t xml:space="preserve"> </w:t>
      </w:r>
      <w:r>
        <w:rPr>
          <w:rFonts w:hint="eastAsia" w:ascii="仿宋" w:hAnsi="仿宋" w:eastAsia="仿宋" w:cs="仿宋"/>
          <w:color w:val="auto"/>
          <w:sz w:val="24"/>
        </w:rPr>
        <w:t>日，每天8:00-11:30，14:00-17:30（北京时间，法定节假日除外）。</w:t>
      </w:r>
    </w:p>
    <w:p>
      <w:pPr>
        <w:widowControl/>
        <w:kinsoku w:val="0"/>
        <w:autoSpaceDE w:val="0"/>
        <w:autoSpaceDN w:val="0"/>
        <w:adjustRightInd w:val="0"/>
        <w:snapToGrid w:val="0"/>
        <w:spacing w:line="360" w:lineRule="auto"/>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2、地点：方式：接受现场报名或电子报名：（1）电子报名：请各供应商将相关报名资料（营业执照、法人证明书、授权委托书、法人身份证及授权人身份证</w:t>
      </w:r>
      <w:r>
        <w:rPr>
          <w:rFonts w:hint="eastAsia" w:ascii="仿宋" w:hAnsi="仿宋" w:eastAsia="仿宋" w:cs="仿宋"/>
          <w:color w:val="auto"/>
          <w:sz w:val="24"/>
          <w:lang w:eastAsia="zh-CN"/>
        </w:rPr>
        <w:t>、</w:t>
      </w:r>
      <w:r>
        <w:rPr>
          <w:rFonts w:hint="eastAsia" w:ascii="仿宋" w:hAnsi="仿宋" w:eastAsia="仿宋" w:cs="仿宋"/>
          <w:color w:val="FF0000"/>
          <w:sz w:val="24"/>
          <w:lang w:eastAsia="zh-CN"/>
        </w:rPr>
        <w:t>经营保险业务许可证</w:t>
      </w:r>
      <w:r>
        <w:rPr>
          <w:rFonts w:hint="eastAsia" w:ascii="仿宋" w:hAnsi="仿宋" w:eastAsia="仿宋" w:cs="仿宋"/>
          <w:color w:val="auto"/>
          <w:sz w:val="24"/>
        </w:rPr>
        <w:t>）加盖公章扫描后发送至邮箱Yzrycgzx@163.com，并与采购中心办公室电话（0511-88392229）确认。（2）现场报名：供应商应在规定的时间内至扬中市人民医院门诊4楼南区采购中心办公室报名，供应商经办人须携带营业执照复印件、法人代表授权委托书原件、法人证明书原件、法人身份证及授权人身份证复印件</w:t>
      </w:r>
      <w:r>
        <w:rPr>
          <w:rFonts w:hint="eastAsia" w:ascii="仿宋" w:hAnsi="仿宋" w:eastAsia="仿宋" w:cs="仿宋"/>
          <w:color w:val="auto"/>
          <w:sz w:val="24"/>
          <w:lang w:eastAsia="zh-CN"/>
        </w:rPr>
        <w:t>、</w:t>
      </w:r>
      <w:r>
        <w:rPr>
          <w:rFonts w:hint="eastAsia" w:ascii="仿宋" w:hAnsi="仿宋" w:eastAsia="仿宋" w:cs="仿宋"/>
          <w:color w:val="FF0000"/>
          <w:sz w:val="24"/>
          <w:lang w:eastAsia="zh-CN"/>
        </w:rPr>
        <w:t>经营保险业务许可证</w:t>
      </w:r>
      <w:r>
        <w:rPr>
          <w:rFonts w:hint="eastAsia" w:ascii="仿宋" w:hAnsi="仿宋" w:eastAsia="仿宋" w:cs="仿宋"/>
          <w:color w:val="auto"/>
          <w:sz w:val="24"/>
        </w:rPr>
        <w:t>（以上资料均应加盖公章）。</w:t>
      </w:r>
    </w:p>
    <w:p>
      <w:pPr>
        <w:pStyle w:val="32"/>
        <w:shd w:val="clear" w:color="auto" w:fill="FFFFFF"/>
        <w:adjustRightInd w:val="0"/>
        <w:snapToGrid w:val="0"/>
        <w:spacing w:before="0" w:beforeAutospacing="0" w:after="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rPr>
        <w:t>3、没有登记报名的供应商，其响应文件将被拒绝。</w:t>
      </w:r>
    </w:p>
    <w:p>
      <w:pPr>
        <w:pStyle w:val="32"/>
        <w:shd w:val="clear" w:color="auto" w:fill="FFFFFF"/>
        <w:adjustRightInd w:val="0"/>
        <w:snapToGrid w:val="0"/>
        <w:spacing w:before="0" w:beforeAutospacing="0" w:after="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rPr>
        <w:t>4、本项目采用资格后审方式，报名通过并不代表资格审查通过。</w:t>
      </w:r>
    </w:p>
    <w:p>
      <w:pPr>
        <w:pStyle w:val="32"/>
        <w:tabs>
          <w:tab w:val="left" w:pos="1680"/>
        </w:tabs>
        <w:adjustRightInd w:val="0"/>
        <w:snapToGrid w:val="0"/>
        <w:spacing w:before="0" w:beforeAutospacing="0" w:after="0" w:afterAutospacing="0" w:line="360" w:lineRule="auto"/>
        <w:jc w:val="both"/>
        <w:rPr>
          <w:rFonts w:ascii="仿宋" w:hAnsi="仿宋" w:eastAsia="仿宋" w:cs="仿宋"/>
          <w:b/>
          <w:bCs/>
          <w:color w:val="auto"/>
          <w:kern w:val="2"/>
          <w:szCs w:val="21"/>
        </w:rPr>
      </w:pPr>
      <w:r>
        <w:rPr>
          <w:rFonts w:hint="eastAsia" w:ascii="仿宋" w:hAnsi="仿宋" w:eastAsia="仿宋" w:cs="仿宋"/>
          <w:b/>
          <w:bCs/>
          <w:color w:val="auto"/>
        </w:rPr>
        <w:t>四、</w:t>
      </w:r>
      <w:r>
        <w:rPr>
          <w:rFonts w:hint="eastAsia" w:ascii="仿宋" w:hAnsi="仿宋" w:eastAsia="仿宋" w:cs="仿宋"/>
          <w:b/>
          <w:bCs/>
          <w:color w:val="auto"/>
          <w:kern w:val="2"/>
          <w:szCs w:val="21"/>
        </w:rPr>
        <w:t>提交响应文件时间和地点</w:t>
      </w:r>
    </w:p>
    <w:p>
      <w:pPr>
        <w:pStyle w:val="32"/>
        <w:shd w:val="clear" w:color="auto" w:fill="FFFFFF"/>
        <w:adjustRightInd w:val="0"/>
        <w:snapToGrid w:val="0"/>
        <w:spacing w:before="0" w:beforeAutospacing="0" w:after="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rPr>
        <w:t>响应文件接收时间段：2026年</w:t>
      </w:r>
      <w:r>
        <w:rPr>
          <w:rFonts w:hint="eastAsia" w:ascii="仿宋" w:hAnsi="仿宋" w:eastAsia="仿宋" w:cs="仿宋"/>
          <w:color w:val="auto"/>
          <w:lang w:val="en-US" w:eastAsia="zh-CN"/>
        </w:rPr>
        <w:t>6</w:t>
      </w:r>
      <w:r>
        <w:rPr>
          <w:rFonts w:hint="eastAsia" w:ascii="仿宋" w:hAnsi="仿宋" w:eastAsia="仿宋" w:cs="仿宋"/>
          <w:color w:val="auto"/>
        </w:rPr>
        <w:t>月</w:t>
      </w:r>
      <w:r>
        <w:rPr>
          <w:rFonts w:hint="eastAsia" w:ascii="仿宋" w:hAnsi="仿宋" w:eastAsia="仿宋" w:cs="仿宋"/>
          <w:color w:val="auto"/>
          <w:lang w:val="en-US" w:eastAsia="zh-CN"/>
        </w:rPr>
        <w:t>1</w:t>
      </w:r>
      <w:r>
        <w:rPr>
          <w:rFonts w:hint="eastAsia" w:ascii="仿宋" w:hAnsi="仿宋" w:eastAsia="仿宋" w:cs="仿宋"/>
          <w:color w:val="auto"/>
        </w:rPr>
        <w:t>日14</w:t>
      </w:r>
      <w:r>
        <w:rPr>
          <w:rFonts w:hint="eastAsia" w:ascii="仿宋" w:hAnsi="仿宋" w:eastAsia="仿宋" w:cs="仿宋"/>
          <w:color w:val="auto"/>
          <w:kern w:val="2"/>
        </w:rPr>
        <w:t>:00</w:t>
      </w:r>
      <w:r>
        <w:rPr>
          <w:rFonts w:hint="eastAsia" w:ascii="仿宋" w:hAnsi="仿宋" w:eastAsia="仿宋" w:cs="仿宋"/>
          <w:color w:val="auto"/>
        </w:rPr>
        <w:t>-</w:t>
      </w:r>
      <w:r>
        <w:rPr>
          <w:rFonts w:hint="eastAsia" w:ascii="仿宋" w:hAnsi="仿宋" w:eastAsia="仿宋" w:cs="仿宋"/>
          <w:color w:val="auto"/>
          <w:lang w:val="en-US" w:eastAsia="zh-CN"/>
        </w:rPr>
        <w:t>14:30</w:t>
      </w:r>
      <w:r>
        <w:rPr>
          <w:rFonts w:hint="eastAsia" w:ascii="仿宋" w:hAnsi="仿宋" w:eastAsia="仿宋" w:cs="仿宋"/>
          <w:color w:val="auto"/>
        </w:rPr>
        <w:t>（北京时间）,逾期送</w:t>
      </w:r>
      <w:r>
        <w:rPr>
          <w:rFonts w:hint="eastAsia" w:ascii="仿宋" w:hAnsi="仿宋" w:eastAsia="仿宋" w:cs="仿宋"/>
          <w:color w:val="auto"/>
          <w:kern w:val="2"/>
        </w:rPr>
        <w:t>达将作为无效文件，采购人将拒绝接收。</w:t>
      </w:r>
    </w:p>
    <w:p>
      <w:pPr>
        <w:adjustRightInd w:val="0"/>
        <w:snapToGrid w:val="0"/>
        <w:spacing w:line="360" w:lineRule="auto"/>
        <w:ind w:firstLine="420" w:firstLineChars="200"/>
        <w:rPr>
          <w:rFonts w:ascii="仿宋" w:hAnsi="仿宋" w:eastAsia="仿宋" w:cs="仿宋"/>
          <w:color w:val="auto"/>
        </w:rPr>
      </w:pPr>
      <w:r>
        <w:rPr>
          <w:rFonts w:hint="eastAsia" w:ascii="仿宋" w:hAnsi="仿宋" w:eastAsia="仿宋" w:cs="仿宋"/>
          <w:color w:val="auto"/>
          <w:kern w:val="2"/>
        </w:rPr>
        <w:t>接收地点：</w:t>
      </w:r>
      <w:r>
        <w:rPr>
          <w:rFonts w:hint="eastAsia" w:ascii="仿宋" w:hAnsi="仿宋" w:eastAsia="仿宋" w:cs="仿宋"/>
          <w:color w:val="auto"/>
          <w:sz w:val="24"/>
        </w:rPr>
        <w:t>扬中市人民医院门诊5楼会议室</w:t>
      </w:r>
    </w:p>
    <w:p>
      <w:pPr>
        <w:numPr>
          <w:ilvl w:val="0"/>
          <w:numId w:val="2"/>
        </w:numPr>
        <w:adjustRightInd w:val="0"/>
        <w:snapToGrid w:val="0"/>
        <w:spacing w:line="360" w:lineRule="auto"/>
        <w:jc w:val="left"/>
        <w:outlineLvl w:val="2"/>
        <w:rPr>
          <w:rFonts w:ascii="仿宋" w:hAnsi="仿宋" w:eastAsia="仿宋" w:cs="仿宋"/>
          <w:b/>
          <w:bCs/>
          <w:color w:val="auto"/>
          <w:sz w:val="24"/>
        </w:rPr>
      </w:pPr>
      <w:r>
        <w:rPr>
          <w:rFonts w:hint="eastAsia" w:ascii="仿宋" w:hAnsi="仿宋" w:eastAsia="仿宋" w:cs="仿宋"/>
          <w:b/>
          <w:bCs/>
          <w:color w:val="auto"/>
          <w:sz w:val="24"/>
        </w:rPr>
        <w:t>开启</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时间：2026年</w:t>
      </w:r>
      <w:r>
        <w:rPr>
          <w:rFonts w:hint="eastAsia" w:ascii="仿宋" w:hAnsi="仿宋" w:eastAsia="仿宋" w:cs="仿宋"/>
          <w:color w:val="auto"/>
          <w:sz w:val="24"/>
          <w:lang w:val="en-US" w:eastAsia="zh-CN"/>
        </w:rPr>
        <w:t>6</w:t>
      </w:r>
      <w:r>
        <w:rPr>
          <w:rFonts w:hint="eastAsia" w:ascii="仿宋" w:hAnsi="仿宋" w:eastAsia="仿宋" w:cs="仿宋"/>
          <w:color w:val="auto"/>
          <w:sz w:val="24"/>
        </w:rPr>
        <w:t>月</w:t>
      </w:r>
      <w:r>
        <w:rPr>
          <w:rFonts w:hint="eastAsia" w:ascii="仿宋" w:hAnsi="仿宋" w:eastAsia="仿宋" w:cs="仿宋"/>
          <w:color w:val="auto"/>
          <w:sz w:val="24"/>
          <w:lang w:val="en-US" w:eastAsia="zh-CN"/>
        </w:rPr>
        <w:t>1</w:t>
      </w:r>
      <w:r>
        <w:rPr>
          <w:rFonts w:hint="eastAsia" w:ascii="仿宋" w:hAnsi="仿宋" w:eastAsia="仿宋" w:cs="仿宋"/>
          <w:color w:val="auto"/>
          <w:sz w:val="24"/>
        </w:rPr>
        <w:t>日14点</w:t>
      </w:r>
      <w:r>
        <w:rPr>
          <w:rFonts w:hint="eastAsia" w:ascii="仿宋" w:hAnsi="仿宋" w:eastAsia="仿宋" w:cs="仿宋"/>
          <w:color w:val="auto"/>
          <w:sz w:val="24"/>
          <w:lang w:val="en-US" w:eastAsia="zh-CN"/>
        </w:rPr>
        <w:t>3</w:t>
      </w:r>
      <w:r>
        <w:rPr>
          <w:rFonts w:hint="eastAsia" w:ascii="仿宋" w:hAnsi="仿宋" w:eastAsia="仿宋" w:cs="仿宋"/>
          <w:color w:val="auto"/>
          <w:sz w:val="24"/>
        </w:rPr>
        <w:t>0分（北京时间）</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地点：扬中市人民医院门诊5楼会议室</w:t>
      </w:r>
    </w:p>
    <w:p>
      <w:pPr>
        <w:adjustRightInd w:val="0"/>
        <w:snapToGrid w:val="0"/>
        <w:spacing w:line="360" w:lineRule="auto"/>
        <w:jc w:val="left"/>
        <w:outlineLvl w:val="2"/>
        <w:rPr>
          <w:rFonts w:ascii="仿宋" w:hAnsi="仿宋" w:eastAsia="仿宋" w:cs="仿宋"/>
          <w:b/>
          <w:bCs/>
          <w:color w:val="auto"/>
          <w:sz w:val="24"/>
        </w:rPr>
      </w:pPr>
      <w:r>
        <w:rPr>
          <w:rFonts w:hint="eastAsia" w:ascii="仿宋" w:hAnsi="仿宋" w:eastAsia="仿宋" w:cs="仿宋"/>
          <w:b/>
          <w:bCs/>
          <w:color w:val="auto"/>
          <w:sz w:val="24"/>
        </w:rPr>
        <w:t>六、公告期限</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自本公告发布之日起3个工作日。</w:t>
      </w:r>
    </w:p>
    <w:p>
      <w:pPr>
        <w:adjustRightInd w:val="0"/>
        <w:snapToGrid w:val="0"/>
        <w:spacing w:line="360" w:lineRule="auto"/>
        <w:jc w:val="left"/>
        <w:outlineLvl w:val="2"/>
        <w:rPr>
          <w:rFonts w:ascii="仿宋" w:hAnsi="仿宋" w:eastAsia="仿宋" w:cs="仿宋"/>
          <w:b/>
          <w:bCs/>
          <w:color w:val="auto"/>
          <w:sz w:val="24"/>
        </w:rPr>
      </w:pPr>
      <w:r>
        <w:rPr>
          <w:rFonts w:hint="eastAsia" w:ascii="仿宋" w:hAnsi="仿宋" w:eastAsia="仿宋" w:cs="仿宋"/>
          <w:b/>
          <w:bCs/>
          <w:color w:val="auto"/>
          <w:sz w:val="24"/>
        </w:rPr>
        <w:t>七、其他补充事宜</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1、本项目无需缴纳磋商保证金。</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2、本次采购确定的成交人数量：1名。</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3、本项目不组织集中踏勘。</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4、中标人需根据招标人要求，严格按照《中华人民共和国政府采购法》及相关法规要求，在政府采购网官方平台完成本次交易。</w:t>
      </w:r>
    </w:p>
    <w:p>
      <w:pPr>
        <w:adjustRightInd w:val="0"/>
        <w:snapToGrid w:val="0"/>
        <w:spacing w:line="360" w:lineRule="auto"/>
        <w:ind w:firstLine="480" w:firstLineChars="200"/>
        <w:rPr>
          <w:rFonts w:hint="eastAsia" w:ascii="仿宋" w:hAnsi="仿宋" w:eastAsia="仿宋" w:cs="仿宋"/>
          <w:color w:val="FF0000"/>
          <w:sz w:val="24"/>
        </w:rPr>
      </w:pPr>
      <w:r>
        <w:rPr>
          <w:rFonts w:hint="eastAsia" w:ascii="仿宋" w:hAnsi="仿宋" w:eastAsia="仿宋" w:cs="仿宋"/>
          <w:color w:val="FF0000"/>
          <w:sz w:val="24"/>
          <w:lang w:val="en-US" w:eastAsia="zh-CN"/>
        </w:rPr>
        <w:t>5、</w:t>
      </w:r>
      <w:r>
        <w:rPr>
          <w:rFonts w:hint="eastAsia" w:ascii="仿宋" w:hAnsi="仿宋" w:eastAsia="仿宋" w:cs="仿宋"/>
          <w:color w:val="FF0000"/>
          <w:sz w:val="24"/>
        </w:rPr>
        <w:t>已</w:t>
      </w:r>
      <w:r>
        <w:rPr>
          <w:rFonts w:hint="eastAsia" w:ascii="仿宋" w:hAnsi="仿宋" w:eastAsia="仿宋" w:cs="仿宋"/>
          <w:color w:val="FF0000"/>
          <w:sz w:val="24"/>
          <w:lang w:eastAsia="zh-CN"/>
        </w:rPr>
        <w:t>报名且</w:t>
      </w:r>
      <w:r>
        <w:rPr>
          <w:rFonts w:hint="eastAsia" w:ascii="仿宋" w:hAnsi="仿宋" w:eastAsia="仿宋" w:cs="仿宋"/>
          <w:color w:val="FF0000"/>
          <w:sz w:val="24"/>
          <w:lang w:val="zh-CN"/>
        </w:rPr>
        <w:t>获取磋商文件的供应商因故不参加本次磋商，务必在本项目开标前一天16:00前和我院联系，否则将视为失信行为。</w:t>
      </w:r>
    </w:p>
    <w:p>
      <w:pPr>
        <w:adjustRightInd w:val="0"/>
        <w:snapToGrid w:val="0"/>
        <w:spacing w:line="360" w:lineRule="auto"/>
        <w:jc w:val="left"/>
        <w:outlineLvl w:val="2"/>
        <w:rPr>
          <w:rFonts w:ascii="仿宋" w:hAnsi="仿宋" w:eastAsia="仿宋" w:cs="仿宋"/>
          <w:b/>
          <w:bCs/>
          <w:color w:val="auto"/>
          <w:sz w:val="24"/>
        </w:rPr>
      </w:pPr>
      <w:r>
        <w:rPr>
          <w:rFonts w:hint="eastAsia" w:ascii="仿宋" w:hAnsi="仿宋" w:eastAsia="仿宋" w:cs="仿宋"/>
          <w:b/>
          <w:bCs/>
          <w:color w:val="auto"/>
          <w:sz w:val="24"/>
        </w:rPr>
        <w:t>八、凡对本次采购提出询问，请按以下方式联系。</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1、采购人信息：</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名    称：扬中市人民医院</w:t>
      </w:r>
    </w:p>
    <w:p>
      <w:pPr>
        <w:adjustRightInd w:val="0"/>
        <w:snapToGrid w:val="0"/>
        <w:spacing w:line="360" w:lineRule="auto"/>
        <w:ind w:firstLine="480" w:firstLineChars="200"/>
        <w:rPr>
          <w:rFonts w:ascii="仿宋" w:hAnsi="仿宋" w:eastAsia="仿宋" w:cs="仿宋"/>
          <w:color w:val="auto"/>
          <w:sz w:val="24"/>
          <w:shd w:val="clear" w:color="auto" w:fill="FCFDFF"/>
        </w:rPr>
      </w:pPr>
      <w:r>
        <w:rPr>
          <w:rFonts w:hint="eastAsia" w:ascii="仿宋" w:hAnsi="仿宋" w:eastAsia="仿宋" w:cs="仿宋"/>
          <w:color w:val="auto"/>
          <w:sz w:val="24"/>
        </w:rPr>
        <w:t>地    址：</w:t>
      </w:r>
      <w:r>
        <w:rPr>
          <w:rFonts w:hint="eastAsia" w:ascii="仿宋" w:hAnsi="仿宋" w:eastAsia="仿宋" w:cs="仿宋"/>
          <w:color w:val="auto"/>
          <w:sz w:val="24"/>
          <w:shd w:val="clear" w:color="auto" w:fill="FCFDFF"/>
        </w:rPr>
        <w:t>江苏省扬中市扬子中路235号</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联系方式：</w:t>
      </w:r>
      <w:r>
        <w:rPr>
          <w:rFonts w:hint="eastAsia" w:ascii="宋体" w:hAnsi="宋体" w:cs="宋体"/>
          <w:color w:val="auto"/>
          <w:sz w:val="24"/>
          <w:szCs w:val="28"/>
        </w:rPr>
        <w:t>0511-88392229</w:t>
      </w:r>
    </w:p>
    <w:p>
      <w:pPr>
        <w:adjustRightInd w:val="0"/>
        <w:snapToGrid w:val="0"/>
        <w:spacing w:line="360" w:lineRule="auto"/>
        <w:ind w:firstLine="480" w:firstLineChars="200"/>
        <w:jc w:val="right"/>
        <w:rPr>
          <w:rFonts w:ascii="仿宋" w:hAnsi="仿宋" w:eastAsia="仿宋" w:cs="仿宋"/>
          <w:color w:val="auto"/>
          <w:sz w:val="24"/>
        </w:rPr>
      </w:pPr>
    </w:p>
    <w:p>
      <w:pPr>
        <w:adjustRightInd w:val="0"/>
        <w:snapToGrid w:val="0"/>
        <w:spacing w:line="360" w:lineRule="auto"/>
        <w:ind w:firstLine="480" w:firstLineChars="200"/>
        <w:jc w:val="right"/>
        <w:rPr>
          <w:rFonts w:ascii="仿宋" w:hAnsi="仿宋" w:eastAsia="仿宋" w:cs="仿宋"/>
          <w:color w:val="auto"/>
          <w:sz w:val="24"/>
        </w:rPr>
      </w:pPr>
    </w:p>
    <w:p>
      <w:pPr>
        <w:adjustRightInd w:val="0"/>
        <w:snapToGrid w:val="0"/>
        <w:spacing w:line="360" w:lineRule="auto"/>
        <w:ind w:firstLine="480" w:firstLineChars="200"/>
        <w:jc w:val="right"/>
        <w:rPr>
          <w:rFonts w:ascii="仿宋" w:hAnsi="仿宋" w:eastAsia="仿宋" w:cs="仿宋"/>
          <w:color w:val="auto"/>
          <w:sz w:val="24"/>
        </w:rPr>
      </w:pPr>
    </w:p>
    <w:p>
      <w:pPr>
        <w:adjustRightInd w:val="0"/>
        <w:snapToGrid w:val="0"/>
        <w:spacing w:line="360" w:lineRule="auto"/>
        <w:ind w:firstLine="480" w:firstLineChars="200"/>
        <w:jc w:val="right"/>
        <w:rPr>
          <w:rFonts w:ascii="仿宋" w:hAnsi="仿宋" w:eastAsia="仿宋" w:cs="仿宋"/>
          <w:color w:val="auto"/>
          <w:sz w:val="24"/>
        </w:rPr>
      </w:pPr>
    </w:p>
    <w:p>
      <w:pPr>
        <w:adjustRightInd w:val="0"/>
        <w:snapToGrid w:val="0"/>
        <w:spacing w:line="360" w:lineRule="auto"/>
        <w:ind w:firstLine="480" w:firstLineChars="200"/>
        <w:jc w:val="right"/>
        <w:rPr>
          <w:rFonts w:ascii="仿宋" w:hAnsi="仿宋" w:eastAsia="仿宋" w:cs="仿宋"/>
          <w:color w:val="auto"/>
          <w:sz w:val="24"/>
        </w:rPr>
      </w:pPr>
      <w:r>
        <w:rPr>
          <w:rFonts w:hint="eastAsia" w:ascii="仿宋" w:hAnsi="仿宋" w:eastAsia="仿宋" w:cs="仿宋"/>
          <w:color w:val="auto"/>
          <w:sz w:val="24"/>
        </w:rPr>
        <w:t>扬中市人民医院</w:t>
      </w:r>
    </w:p>
    <w:p>
      <w:pPr>
        <w:adjustRightInd w:val="0"/>
        <w:snapToGrid w:val="0"/>
        <w:spacing w:line="360" w:lineRule="auto"/>
        <w:ind w:firstLine="480" w:firstLineChars="200"/>
        <w:jc w:val="right"/>
        <w:rPr>
          <w:rFonts w:ascii="仿宋" w:hAnsi="仿宋" w:eastAsia="仿宋" w:cs="仿宋"/>
          <w:color w:val="auto"/>
          <w:sz w:val="24"/>
        </w:rPr>
      </w:pPr>
      <w:r>
        <w:rPr>
          <w:rFonts w:hint="eastAsia" w:ascii="仿宋" w:hAnsi="仿宋" w:eastAsia="仿宋" w:cs="仿宋"/>
          <w:color w:val="auto"/>
          <w:sz w:val="24"/>
        </w:rPr>
        <w:t>2026年</w:t>
      </w:r>
      <w:r>
        <w:rPr>
          <w:rFonts w:hint="eastAsia" w:ascii="仿宋" w:hAnsi="仿宋" w:eastAsia="仿宋" w:cs="仿宋"/>
          <w:color w:val="auto"/>
          <w:sz w:val="24"/>
          <w:lang w:val="en-US" w:eastAsia="zh-CN"/>
        </w:rPr>
        <w:t>5</w:t>
      </w:r>
      <w:r>
        <w:rPr>
          <w:rFonts w:hint="eastAsia" w:ascii="仿宋" w:hAnsi="仿宋" w:eastAsia="仿宋" w:cs="仿宋"/>
          <w:color w:val="auto"/>
          <w:sz w:val="24"/>
        </w:rPr>
        <w:t>月</w:t>
      </w:r>
      <w:r>
        <w:rPr>
          <w:rFonts w:hint="eastAsia" w:ascii="仿宋" w:hAnsi="仿宋" w:eastAsia="仿宋" w:cs="仿宋"/>
          <w:color w:val="auto"/>
          <w:sz w:val="24"/>
          <w:lang w:val="en-US" w:eastAsia="zh-CN"/>
        </w:rPr>
        <w:t>21</w:t>
      </w:r>
      <w:bookmarkStart w:id="197" w:name="_GoBack"/>
      <w:bookmarkEnd w:id="197"/>
      <w:r>
        <w:rPr>
          <w:rFonts w:hint="eastAsia" w:ascii="仿宋" w:hAnsi="仿宋" w:eastAsia="仿宋" w:cs="仿宋"/>
          <w:color w:val="auto"/>
          <w:sz w:val="24"/>
        </w:rPr>
        <w:t>日</w:t>
      </w:r>
    </w:p>
    <w:p>
      <w:pPr>
        <w:pStyle w:val="30"/>
        <w:tabs>
          <w:tab w:val="right" w:leader="dot" w:pos="9061"/>
        </w:tabs>
        <w:spacing w:line="360" w:lineRule="auto"/>
        <w:ind w:left="0" w:leftChars="0"/>
        <w:jc w:val="center"/>
        <w:outlineLvl w:val="0"/>
        <w:rPr>
          <w:rStyle w:val="45"/>
          <w:rFonts w:ascii="仿宋" w:hAnsi="仿宋" w:eastAsia="仿宋" w:cs="仿宋"/>
          <w:color w:val="auto"/>
          <w:szCs w:val="32"/>
        </w:rPr>
      </w:pPr>
      <w:r>
        <w:rPr>
          <w:rFonts w:hint="eastAsia" w:ascii="仿宋" w:hAnsi="仿宋" w:eastAsia="仿宋" w:cs="仿宋"/>
          <w:color w:val="auto"/>
        </w:rPr>
        <w:br w:type="page"/>
      </w:r>
      <w:bookmarkStart w:id="11" w:name="_Toc105940807"/>
      <w:bookmarkStart w:id="12" w:name="_Toc7461"/>
      <w:r>
        <w:rPr>
          <w:rStyle w:val="45"/>
          <w:rFonts w:hint="eastAsia" w:ascii="仿宋" w:hAnsi="仿宋" w:eastAsia="仿宋" w:cs="仿宋"/>
          <w:color w:val="auto"/>
          <w:szCs w:val="32"/>
        </w:rPr>
        <w:t>第二部分  供应商须知</w:t>
      </w:r>
      <w:bookmarkEnd w:id="11"/>
      <w:bookmarkEnd w:id="12"/>
    </w:p>
    <w:p>
      <w:pPr>
        <w:pStyle w:val="3"/>
        <w:keepNext w:val="0"/>
        <w:keepLines w:val="0"/>
        <w:spacing w:before="200" w:after="200" w:line="240" w:lineRule="auto"/>
        <w:rPr>
          <w:rFonts w:ascii="仿宋" w:hAnsi="仿宋" w:eastAsia="仿宋" w:cs="仿宋"/>
          <w:color w:val="auto"/>
          <w:sz w:val="30"/>
          <w:szCs w:val="30"/>
        </w:rPr>
      </w:pPr>
      <w:bookmarkStart w:id="13" w:name="_Toc105940890"/>
      <w:bookmarkStart w:id="14" w:name="_Toc92168000"/>
      <w:bookmarkStart w:id="15" w:name="_Toc105940808"/>
      <w:bookmarkStart w:id="16" w:name="_Toc100386034"/>
      <w:r>
        <w:rPr>
          <w:rFonts w:hint="eastAsia" w:ascii="仿宋" w:hAnsi="仿宋" w:eastAsia="仿宋" w:cs="仿宋"/>
          <w:color w:val="auto"/>
          <w:sz w:val="30"/>
          <w:szCs w:val="30"/>
        </w:rPr>
        <w:t>一、总  则</w:t>
      </w:r>
      <w:bookmarkEnd w:id="13"/>
      <w:bookmarkEnd w:id="14"/>
      <w:bookmarkEnd w:id="15"/>
      <w:bookmarkEnd w:id="16"/>
    </w:p>
    <w:p>
      <w:pPr>
        <w:pStyle w:val="4"/>
        <w:keepNext w:val="0"/>
        <w:keepLines w:val="0"/>
        <w:spacing w:before="0" w:after="0" w:line="360" w:lineRule="auto"/>
        <w:jc w:val="left"/>
        <w:rPr>
          <w:rFonts w:ascii="仿宋" w:hAnsi="仿宋" w:eastAsia="仿宋" w:cs="仿宋"/>
          <w:color w:val="auto"/>
          <w:sz w:val="24"/>
          <w:szCs w:val="24"/>
        </w:rPr>
      </w:pPr>
      <w:bookmarkStart w:id="17" w:name="_Toc105940809"/>
      <w:bookmarkStart w:id="18" w:name="_Toc100386035"/>
      <w:bookmarkStart w:id="19" w:name="_Toc105940891"/>
      <w:bookmarkStart w:id="20" w:name="_Toc92168001"/>
      <w:r>
        <w:rPr>
          <w:rFonts w:hint="eastAsia" w:ascii="仿宋" w:hAnsi="仿宋" w:eastAsia="仿宋" w:cs="仿宋"/>
          <w:color w:val="auto"/>
          <w:sz w:val="24"/>
          <w:szCs w:val="24"/>
        </w:rPr>
        <w:t>1、适用范围</w:t>
      </w:r>
      <w:bookmarkEnd w:id="17"/>
      <w:bookmarkEnd w:id="18"/>
      <w:bookmarkEnd w:id="19"/>
      <w:bookmarkEnd w:id="20"/>
    </w:p>
    <w:p>
      <w:pPr>
        <w:adjustRightInd w:val="0"/>
        <w:snapToGrid w:val="0"/>
        <w:spacing w:line="360" w:lineRule="auto"/>
        <w:ind w:firstLine="480" w:firstLineChars="200"/>
        <w:rPr>
          <w:rFonts w:ascii="仿宋" w:hAnsi="仿宋" w:eastAsia="仿宋" w:cs="仿宋"/>
          <w:b/>
          <w:color w:val="auto"/>
          <w:sz w:val="24"/>
          <w:u w:val="single"/>
        </w:rPr>
      </w:pPr>
      <w:r>
        <w:rPr>
          <w:rFonts w:hint="eastAsia" w:ascii="仿宋" w:hAnsi="仿宋" w:eastAsia="仿宋" w:cs="仿宋"/>
          <w:color w:val="auto"/>
          <w:sz w:val="24"/>
        </w:rPr>
        <w:t>1.1 本磋商文件仅适用于</w:t>
      </w:r>
      <w:r>
        <w:rPr>
          <w:rFonts w:hint="eastAsia" w:ascii="仿宋" w:hAnsi="仿宋" w:eastAsia="仿宋" w:cs="仿宋"/>
          <w:color w:val="auto"/>
          <w:sz w:val="24"/>
          <w:u w:val="single"/>
        </w:rPr>
        <w:t>扬中市人民医院团体重大疾病保险服务采购项目</w:t>
      </w:r>
    </w:p>
    <w:p>
      <w:pPr>
        <w:pStyle w:val="4"/>
        <w:keepNext w:val="0"/>
        <w:keepLines w:val="0"/>
        <w:spacing w:before="0" w:after="0" w:line="360" w:lineRule="auto"/>
        <w:jc w:val="left"/>
        <w:rPr>
          <w:rFonts w:ascii="仿宋" w:hAnsi="仿宋" w:eastAsia="仿宋" w:cs="仿宋"/>
          <w:color w:val="auto"/>
          <w:sz w:val="24"/>
          <w:szCs w:val="24"/>
        </w:rPr>
      </w:pPr>
      <w:bookmarkStart w:id="21" w:name="_Toc100386036"/>
      <w:bookmarkStart w:id="22" w:name="_Toc92168002"/>
      <w:r>
        <w:rPr>
          <w:rFonts w:hint="eastAsia" w:ascii="仿宋" w:hAnsi="仿宋" w:eastAsia="仿宋" w:cs="仿宋"/>
          <w:color w:val="auto"/>
          <w:sz w:val="24"/>
          <w:szCs w:val="24"/>
        </w:rPr>
        <w:t>2、定义</w:t>
      </w:r>
      <w:bookmarkEnd w:id="21"/>
      <w:bookmarkEnd w:id="22"/>
    </w:p>
    <w:p>
      <w:pPr>
        <w:spacing w:line="360" w:lineRule="auto"/>
        <w:ind w:firstLine="480" w:firstLineChars="200"/>
        <w:rPr>
          <w:rFonts w:ascii="仿宋" w:hAnsi="仿宋" w:eastAsia="仿宋" w:cs="仿宋"/>
          <w:b/>
          <w:color w:val="auto"/>
          <w:sz w:val="30"/>
          <w:szCs w:val="20"/>
        </w:rPr>
      </w:pPr>
      <w:r>
        <w:rPr>
          <w:rFonts w:hint="eastAsia" w:ascii="仿宋" w:hAnsi="仿宋" w:eastAsia="仿宋" w:cs="仿宋"/>
          <w:color w:val="auto"/>
          <w:sz w:val="24"/>
        </w:rPr>
        <w:t>磋商文件中下列术语应解释为：</w:t>
      </w:r>
    </w:p>
    <w:p>
      <w:pPr>
        <w:tabs>
          <w:tab w:val="left" w:pos="7725"/>
        </w:tabs>
        <w:spacing w:line="360" w:lineRule="auto"/>
        <w:ind w:firstLine="480" w:firstLineChars="200"/>
        <w:rPr>
          <w:rFonts w:ascii="仿宋" w:hAnsi="仿宋" w:eastAsia="仿宋" w:cs="仿宋"/>
          <w:snapToGrid w:val="0"/>
          <w:color w:val="auto"/>
          <w:sz w:val="24"/>
        </w:rPr>
      </w:pPr>
      <w:r>
        <w:rPr>
          <w:rFonts w:hint="eastAsia" w:ascii="仿宋" w:hAnsi="仿宋" w:eastAsia="仿宋" w:cs="仿宋"/>
          <w:snapToGrid w:val="0"/>
          <w:color w:val="auto"/>
          <w:sz w:val="24"/>
        </w:rPr>
        <w:t>2.1“供应商”指向采购人提交磋商响应文件的投标单位。</w:t>
      </w:r>
    </w:p>
    <w:p>
      <w:pPr>
        <w:spacing w:line="360" w:lineRule="auto"/>
        <w:ind w:firstLine="480" w:firstLineChars="200"/>
        <w:rPr>
          <w:rFonts w:ascii="仿宋" w:hAnsi="仿宋" w:eastAsia="仿宋" w:cs="仿宋"/>
          <w:b/>
          <w:bCs/>
          <w:color w:val="auto"/>
          <w:sz w:val="24"/>
          <w:u w:val="single"/>
        </w:rPr>
      </w:pPr>
      <w:r>
        <w:rPr>
          <w:rFonts w:hint="eastAsia" w:ascii="仿宋" w:hAnsi="仿宋" w:eastAsia="仿宋" w:cs="仿宋"/>
          <w:snapToGrid w:val="0"/>
          <w:color w:val="auto"/>
          <w:sz w:val="24"/>
        </w:rPr>
        <w:t>2.2“采购人”指采购单位，即：</w:t>
      </w:r>
      <w:r>
        <w:rPr>
          <w:rFonts w:hint="eastAsia" w:ascii="仿宋" w:hAnsi="仿宋" w:eastAsia="仿宋" w:cs="仿宋"/>
          <w:b/>
          <w:bCs/>
          <w:color w:val="auto"/>
          <w:sz w:val="24"/>
          <w:u w:val="single"/>
        </w:rPr>
        <w:t>扬中市人民医院</w:t>
      </w:r>
    </w:p>
    <w:p>
      <w:pPr>
        <w:spacing w:line="360" w:lineRule="auto"/>
        <w:ind w:firstLine="480" w:firstLineChars="200"/>
        <w:rPr>
          <w:rFonts w:ascii="仿宋" w:hAnsi="仿宋" w:eastAsia="仿宋" w:cs="仿宋"/>
          <w:snapToGrid w:val="0"/>
          <w:color w:val="auto"/>
          <w:sz w:val="24"/>
        </w:rPr>
      </w:pPr>
      <w:r>
        <w:rPr>
          <w:rFonts w:hint="eastAsia" w:ascii="仿宋" w:hAnsi="仿宋" w:eastAsia="仿宋" w:cs="仿宋"/>
          <w:snapToGrid w:val="0"/>
          <w:color w:val="auto"/>
          <w:sz w:val="24"/>
        </w:rPr>
        <w:t>2.3</w:t>
      </w:r>
      <w:r>
        <w:rPr>
          <w:rFonts w:hint="eastAsia" w:ascii="仿宋" w:hAnsi="仿宋" w:eastAsia="仿宋" w:cs="仿宋"/>
          <w:color w:val="auto"/>
          <w:sz w:val="24"/>
        </w:rPr>
        <w:t>“服务”系指按合同规定供应商必须提供的服务,亦包括磋商文件中特别描述的其它形式的服务。</w:t>
      </w:r>
    </w:p>
    <w:p>
      <w:pPr>
        <w:pStyle w:val="4"/>
        <w:keepNext w:val="0"/>
        <w:keepLines w:val="0"/>
        <w:spacing w:before="0" w:after="0" w:line="360" w:lineRule="auto"/>
        <w:jc w:val="left"/>
        <w:rPr>
          <w:rFonts w:ascii="仿宋" w:hAnsi="仿宋" w:eastAsia="仿宋" w:cs="仿宋"/>
          <w:color w:val="auto"/>
          <w:sz w:val="24"/>
          <w:szCs w:val="24"/>
        </w:rPr>
      </w:pPr>
      <w:bookmarkStart w:id="23" w:name="_Toc105940892"/>
      <w:bookmarkStart w:id="24" w:name="_Toc105940810"/>
      <w:bookmarkStart w:id="25" w:name="_Toc98669693"/>
      <w:bookmarkStart w:id="26" w:name="_Toc20732971"/>
      <w:bookmarkStart w:id="27" w:name="_Toc98669335"/>
      <w:bookmarkStart w:id="28" w:name="_Toc92168004"/>
      <w:bookmarkStart w:id="29" w:name="_Toc100386038"/>
      <w:r>
        <w:rPr>
          <w:rFonts w:hint="eastAsia" w:ascii="仿宋" w:hAnsi="仿宋" w:eastAsia="仿宋" w:cs="仿宋"/>
          <w:color w:val="auto"/>
          <w:sz w:val="24"/>
          <w:szCs w:val="24"/>
        </w:rPr>
        <w:t>3、本次采购方式</w:t>
      </w:r>
      <w:bookmarkEnd w:id="23"/>
      <w:bookmarkEnd w:id="24"/>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3.1本次采购采取竞争性磋商方式（本项目不接受联合投标）。</w:t>
      </w:r>
    </w:p>
    <w:bookmarkEnd w:id="25"/>
    <w:bookmarkEnd w:id="26"/>
    <w:bookmarkEnd w:id="27"/>
    <w:bookmarkEnd w:id="28"/>
    <w:bookmarkEnd w:id="29"/>
    <w:p>
      <w:pPr>
        <w:pStyle w:val="4"/>
        <w:keepNext w:val="0"/>
        <w:keepLines w:val="0"/>
        <w:spacing w:before="0" w:after="0" w:line="360" w:lineRule="auto"/>
        <w:jc w:val="left"/>
        <w:rPr>
          <w:rFonts w:ascii="仿宋" w:hAnsi="仿宋" w:eastAsia="仿宋" w:cs="仿宋"/>
          <w:color w:val="auto"/>
          <w:sz w:val="24"/>
          <w:szCs w:val="24"/>
        </w:rPr>
      </w:pPr>
      <w:bookmarkStart w:id="30" w:name="_Toc20732973"/>
      <w:bookmarkStart w:id="31" w:name="_Toc98669336"/>
      <w:bookmarkStart w:id="32" w:name="_Toc98669694"/>
      <w:bookmarkStart w:id="33" w:name="_Toc100386039"/>
      <w:bookmarkStart w:id="34" w:name="_Toc92168005"/>
      <w:bookmarkStart w:id="35" w:name="_Toc105940812"/>
      <w:bookmarkStart w:id="36" w:name="_Toc105940894"/>
      <w:r>
        <w:rPr>
          <w:rFonts w:hint="eastAsia" w:ascii="仿宋" w:hAnsi="仿宋" w:eastAsia="仿宋" w:cs="仿宋"/>
          <w:color w:val="auto"/>
          <w:sz w:val="24"/>
          <w:szCs w:val="24"/>
        </w:rPr>
        <w:t>4、</w:t>
      </w:r>
      <w:bookmarkEnd w:id="30"/>
      <w:bookmarkEnd w:id="31"/>
      <w:bookmarkEnd w:id="32"/>
      <w:bookmarkEnd w:id="33"/>
      <w:bookmarkEnd w:id="34"/>
      <w:r>
        <w:rPr>
          <w:rFonts w:hint="eastAsia" w:ascii="仿宋" w:hAnsi="仿宋" w:eastAsia="仿宋" w:cs="仿宋"/>
          <w:color w:val="auto"/>
          <w:sz w:val="24"/>
          <w:szCs w:val="24"/>
        </w:rPr>
        <w:t>适用法律、政策及约束力</w:t>
      </w:r>
      <w:bookmarkEnd w:id="35"/>
      <w:bookmarkEnd w:id="36"/>
    </w:p>
    <w:p>
      <w:pPr>
        <w:spacing w:line="360" w:lineRule="auto"/>
        <w:ind w:firstLine="480" w:firstLineChars="200"/>
        <w:rPr>
          <w:rFonts w:ascii="仿宋" w:hAnsi="仿宋" w:eastAsia="仿宋" w:cs="仿宋"/>
          <w:color w:val="auto"/>
          <w:sz w:val="24"/>
        </w:rPr>
      </w:pPr>
      <w:bookmarkStart w:id="37" w:name="_Toc20732974"/>
      <w:bookmarkStart w:id="38" w:name="_Toc100386040"/>
      <w:bookmarkStart w:id="39" w:name="_Toc92168006"/>
      <w:bookmarkStart w:id="40" w:name="_Toc98669695"/>
      <w:bookmarkStart w:id="41" w:name="_Toc98669337"/>
      <w:r>
        <w:rPr>
          <w:rFonts w:hint="eastAsia" w:ascii="仿宋" w:hAnsi="仿宋" w:eastAsia="仿宋" w:cs="仿宋"/>
          <w:color w:val="auto"/>
          <w:sz w:val="24"/>
        </w:rPr>
        <w:t>5.1本次磋商及由本次磋商产生的合同受中华人民共和国法律制约和保护。</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5.2供应商一旦报名并参加磋商，即被认为接受了本磋商文件中的第一、第二、第三部分的所有条款。</w:t>
      </w:r>
    </w:p>
    <w:bookmarkEnd w:id="37"/>
    <w:bookmarkEnd w:id="38"/>
    <w:bookmarkEnd w:id="39"/>
    <w:bookmarkEnd w:id="40"/>
    <w:bookmarkEnd w:id="41"/>
    <w:p>
      <w:pPr>
        <w:pStyle w:val="3"/>
        <w:keepNext w:val="0"/>
        <w:keepLines w:val="0"/>
        <w:spacing w:before="200" w:after="200" w:line="240" w:lineRule="auto"/>
        <w:rPr>
          <w:rFonts w:ascii="仿宋" w:hAnsi="仿宋" w:eastAsia="仿宋" w:cs="仿宋"/>
          <w:color w:val="auto"/>
          <w:sz w:val="30"/>
          <w:szCs w:val="30"/>
        </w:rPr>
      </w:pPr>
      <w:bookmarkStart w:id="42" w:name="_Toc105940895"/>
      <w:bookmarkStart w:id="43" w:name="_Toc105940813"/>
    </w:p>
    <w:p>
      <w:pPr>
        <w:pStyle w:val="3"/>
        <w:keepNext w:val="0"/>
        <w:keepLines w:val="0"/>
        <w:spacing w:before="200" w:after="200" w:line="240" w:lineRule="auto"/>
        <w:rPr>
          <w:rFonts w:ascii="仿宋" w:hAnsi="仿宋" w:eastAsia="仿宋" w:cs="仿宋"/>
          <w:color w:val="auto"/>
          <w:sz w:val="30"/>
          <w:szCs w:val="30"/>
        </w:rPr>
      </w:pPr>
    </w:p>
    <w:p>
      <w:pPr>
        <w:pStyle w:val="3"/>
        <w:keepNext w:val="0"/>
        <w:keepLines w:val="0"/>
        <w:spacing w:before="200" w:after="200" w:line="240" w:lineRule="auto"/>
        <w:rPr>
          <w:rFonts w:ascii="仿宋" w:hAnsi="仿宋" w:eastAsia="仿宋" w:cs="仿宋"/>
          <w:color w:val="auto"/>
          <w:sz w:val="30"/>
          <w:szCs w:val="30"/>
        </w:rPr>
      </w:pPr>
    </w:p>
    <w:p>
      <w:pPr>
        <w:pStyle w:val="3"/>
        <w:keepNext w:val="0"/>
        <w:keepLines w:val="0"/>
        <w:spacing w:before="200" w:after="200" w:line="240" w:lineRule="auto"/>
        <w:rPr>
          <w:rFonts w:ascii="仿宋" w:hAnsi="仿宋" w:eastAsia="仿宋" w:cs="仿宋"/>
          <w:color w:val="auto"/>
          <w:sz w:val="30"/>
          <w:szCs w:val="30"/>
        </w:rPr>
      </w:pPr>
      <w:r>
        <w:rPr>
          <w:rFonts w:hint="eastAsia" w:ascii="仿宋" w:hAnsi="仿宋" w:eastAsia="仿宋" w:cs="仿宋"/>
          <w:color w:val="auto"/>
          <w:sz w:val="30"/>
          <w:szCs w:val="30"/>
        </w:rPr>
        <w:t>二、磋商文件</w:t>
      </w:r>
      <w:bookmarkEnd w:id="42"/>
      <w:bookmarkEnd w:id="43"/>
    </w:p>
    <w:p>
      <w:pPr>
        <w:pStyle w:val="4"/>
        <w:keepNext w:val="0"/>
        <w:keepLines w:val="0"/>
        <w:spacing w:before="0" w:after="0" w:line="360" w:lineRule="auto"/>
        <w:jc w:val="left"/>
        <w:rPr>
          <w:rFonts w:ascii="仿宋" w:hAnsi="仿宋" w:eastAsia="仿宋" w:cs="仿宋"/>
          <w:color w:val="auto"/>
          <w:sz w:val="24"/>
          <w:szCs w:val="24"/>
        </w:rPr>
      </w:pPr>
      <w:bookmarkStart w:id="44" w:name="_Toc105940814"/>
      <w:bookmarkStart w:id="45" w:name="_Toc98669696"/>
      <w:bookmarkStart w:id="46" w:name="_Toc100386041"/>
      <w:bookmarkStart w:id="47" w:name="_Toc20732975"/>
      <w:bookmarkStart w:id="48" w:name="_Toc105940896"/>
      <w:bookmarkStart w:id="49" w:name="_Toc92168007"/>
      <w:bookmarkStart w:id="50" w:name="_Toc98669338"/>
      <w:r>
        <w:rPr>
          <w:rFonts w:hint="eastAsia" w:ascii="仿宋" w:hAnsi="仿宋" w:eastAsia="仿宋" w:cs="仿宋"/>
          <w:color w:val="auto"/>
          <w:sz w:val="24"/>
          <w:szCs w:val="24"/>
        </w:rPr>
        <w:t>6、磋商文件构成</w:t>
      </w:r>
      <w:bookmarkEnd w:id="44"/>
      <w:bookmarkEnd w:id="45"/>
      <w:bookmarkEnd w:id="46"/>
      <w:bookmarkEnd w:id="47"/>
      <w:bookmarkEnd w:id="48"/>
      <w:bookmarkEnd w:id="49"/>
      <w:bookmarkEnd w:id="50"/>
      <w:r>
        <w:rPr>
          <w:rFonts w:hint="eastAsia" w:ascii="仿宋" w:hAnsi="仿宋" w:eastAsia="仿宋" w:cs="仿宋"/>
          <w:color w:val="auto"/>
          <w:sz w:val="24"/>
          <w:szCs w:val="24"/>
        </w:rPr>
        <w:tab/>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6.1磋商文件包括：</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（1）磋商邀请；</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（2）供应商须知；</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（3）合同条款；</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（4）项目需求；</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（5）磋商响应文件（格式）；</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（6）附件（如有）；</w:t>
      </w:r>
    </w:p>
    <w:p>
      <w:pPr>
        <w:spacing w:line="360" w:lineRule="auto"/>
        <w:ind w:firstLine="361" w:firstLineChars="150"/>
        <w:rPr>
          <w:rFonts w:ascii="仿宋" w:hAnsi="仿宋" w:eastAsia="仿宋" w:cs="仿宋"/>
          <w:b/>
          <w:color w:val="auto"/>
          <w:sz w:val="24"/>
        </w:rPr>
      </w:pPr>
      <w:r>
        <w:rPr>
          <w:rFonts w:hint="eastAsia" w:ascii="仿宋" w:hAnsi="仿宋" w:eastAsia="仿宋" w:cs="仿宋"/>
          <w:b/>
          <w:color w:val="auto"/>
          <w:sz w:val="24"/>
          <w:u w:val="single"/>
        </w:rPr>
        <w:t>请仔细检查磋商文件是否齐全，如有缺漏请立即与采购人联系解决</w:t>
      </w:r>
      <w:r>
        <w:rPr>
          <w:rFonts w:hint="eastAsia" w:ascii="仿宋" w:hAnsi="仿宋" w:eastAsia="仿宋" w:cs="仿宋"/>
          <w:b/>
          <w:color w:val="auto"/>
          <w:sz w:val="24"/>
        </w:rPr>
        <w:t>。</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6.2供应商应当按照磋商文件的要求编制磋商响应文件。响应文件应当对磋商文件提出的要求和条件作出明确响应。</w:t>
      </w:r>
    </w:p>
    <w:p>
      <w:pPr>
        <w:pStyle w:val="4"/>
        <w:keepNext w:val="0"/>
        <w:keepLines w:val="0"/>
        <w:spacing w:before="0" w:after="0" w:line="360" w:lineRule="auto"/>
        <w:jc w:val="left"/>
        <w:rPr>
          <w:rFonts w:ascii="仿宋" w:hAnsi="仿宋" w:eastAsia="仿宋" w:cs="仿宋"/>
          <w:color w:val="auto"/>
          <w:sz w:val="24"/>
          <w:szCs w:val="24"/>
        </w:rPr>
      </w:pPr>
      <w:bookmarkStart w:id="51" w:name="_Toc100386042"/>
      <w:bookmarkStart w:id="52" w:name="_Toc98669339"/>
      <w:bookmarkStart w:id="53" w:name="_Toc20732976"/>
      <w:bookmarkStart w:id="54" w:name="_Toc98669697"/>
      <w:bookmarkStart w:id="55" w:name="_Toc92168008"/>
      <w:bookmarkStart w:id="56" w:name="_Toc105940815"/>
      <w:bookmarkStart w:id="57" w:name="_Toc105940897"/>
      <w:r>
        <w:rPr>
          <w:rFonts w:hint="eastAsia" w:ascii="仿宋" w:hAnsi="仿宋" w:eastAsia="仿宋" w:cs="仿宋"/>
          <w:color w:val="auto"/>
          <w:sz w:val="24"/>
          <w:szCs w:val="24"/>
        </w:rPr>
        <w:t>7、磋商文件的澄清</w:t>
      </w:r>
      <w:bookmarkEnd w:id="51"/>
      <w:bookmarkEnd w:id="52"/>
      <w:bookmarkEnd w:id="53"/>
      <w:bookmarkEnd w:id="54"/>
      <w:bookmarkEnd w:id="55"/>
      <w:bookmarkStart w:id="58" w:name="_Toc98669340"/>
      <w:bookmarkStart w:id="59" w:name="_Toc100386043"/>
      <w:bookmarkStart w:id="60" w:name="_Toc20732977"/>
      <w:bookmarkStart w:id="61" w:name="_Toc98669698"/>
      <w:bookmarkStart w:id="62" w:name="_Toc92168009"/>
      <w:r>
        <w:rPr>
          <w:rFonts w:hint="eastAsia" w:ascii="仿宋" w:hAnsi="仿宋" w:eastAsia="仿宋" w:cs="仿宋"/>
          <w:color w:val="auto"/>
          <w:sz w:val="24"/>
          <w:szCs w:val="24"/>
        </w:rPr>
        <w:t>和修改</w:t>
      </w:r>
      <w:bookmarkEnd w:id="56"/>
      <w:bookmarkEnd w:id="57"/>
      <w:bookmarkEnd w:id="58"/>
      <w:bookmarkEnd w:id="59"/>
      <w:bookmarkEnd w:id="60"/>
      <w:bookmarkEnd w:id="61"/>
      <w:bookmarkEnd w:id="62"/>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7.1任何要求对磋商文件进行澄清的供应商，均应按磋商文件中的通讯地址，以书面形式（如信件、传真、电报等）通知采购人。</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7.2采购人可以对已发出的磋商文件进行必要的澄清或者修改，但不改变采购标的和资格条件。澄清或者修改将在“扬中市人民医院”门户网站上发布澄清公告。澄清或者修改的内容为磋商文件的组成部分。澄清或者修改的内容可能影响磋商响应文件编制的，采购人将在投标截止时间至少5日前，以书面形式通知已报名的供应商，供应商请访问官方网站，以获取详细信息；不足5日的，采购人将顺延提交磋商响应文件的截止时间。</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7.3</w:t>
      </w:r>
      <w:r>
        <w:rPr>
          <w:rFonts w:hint="eastAsia" w:ascii="仿宋" w:hAnsi="仿宋" w:eastAsia="仿宋" w:cs="仿宋"/>
          <w:b/>
          <w:color w:val="auto"/>
          <w:sz w:val="24"/>
          <w:u w:val="single"/>
        </w:rPr>
        <w:t>除非有特殊要求，磋商文件不单独提供招标标的所在地自然环境、气象条件、公用设施等情况，供应商被视为熟悉上述与签订和履行合同有关的一切情况</w:t>
      </w:r>
      <w:r>
        <w:rPr>
          <w:rFonts w:hint="eastAsia" w:ascii="仿宋" w:hAnsi="仿宋" w:eastAsia="仿宋" w:cs="仿宋"/>
          <w:color w:val="auto"/>
          <w:sz w:val="24"/>
        </w:rPr>
        <w:t>。</w:t>
      </w:r>
    </w:p>
    <w:p>
      <w:pPr>
        <w:pStyle w:val="3"/>
        <w:keepNext w:val="0"/>
        <w:keepLines w:val="0"/>
        <w:spacing w:before="200" w:after="200" w:line="240" w:lineRule="auto"/>
        <w:rPr>
          <w:rFonts w:ascii="仿宋" w:hAnsi="仿宋" w:eastAsia="仿宋" w:cs="仿宋"/>
          <w:color w:val="auto"/>
          <w:sz w:val="30"/>
          <w:szCs w:val="30"/>
        </w:rPr>
      </w:pPr>
      <w:bookmarkStart w:id="63" w:name="_Toc105940898"/>
      <w:bookmarkStart w:id="64" w:name="_Toc105940816"/>
      <w:r>
        <w:rPr>
          <w:rFonts w:hint="eastAsia" w:ascii="仿宋" w:hAnsi="仿宋" w:eastAsia="仿宋" w:cs="仿宋"/>
          <w:color w:val="auto"/>
          <w:sz w:val="30"/>
          <w:szCs w:val="30"/>
        </w:rPr>
        <w:t>三、磋商响应文件的编制</w:t>
      </w:r>
      <w:bookmarkEnd w:id="63"/>
      <w:bookmarkEnd w:id="64"/>
    </w:p>
    <w:p>
      <w:pPr>
        <w:pStyle w:val="4"/>
        <w:keepNext w:val="0"/>
        <w:keepLines w:val="0"/>
        <w:spacing w:before="0" w:after="0" w:line="360" w:lineRule="auto"/>
        <w:jc w:val="left"/>
        <w:rPr>
          <w:rFonts w:ascii="仿宋" w:hAnsi="仿宋" w:eastAsia="仿宋" w:cs="仿宋"/>
          <w:color w:val="auto"/>
          <w:sz w:val="24"/>
          <w:szCs w:val="24"/>
        </w:rPr>
      </w:pPr>
      <w:bookmarkStart w:id="65" w:name="_Toc105940817"/>
      <w:bookmarkStart w:id="66" w:name="_Toc105940899"/>
      <w:r>
        <w:rPr>
          <w:rFonts w:hint="eastAsia" w:ascii="仿宋" w:hAnsi="仿宋" w:eastAsia="仿宋" w:cs="仿宋"/>
          <w:color w:val="auto"/>
          <w:sz w:val="24"/>
          <w:szCs w:val="24"/>
        </w:rPr>
        <w:t>8、磋商响应文件的编写</w:t>
      </w:r>
      <w:bookmarkEnd w:id="65"/>
      <w:bookmarkEnd w:id="66"/>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8.1供应商应仔细阅读磋商文件，了解磋商文件的要求。在完全了解采购要求服务的技术规范和要求以及商务条件后，编制磋商响应文件。</w:t>
      </w:r>
    </w:p>
    <w:p>
      <w:pPr>
        <w:spacing w:line="360" w:lineRule="auto"/>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8.2磋商响应文件的正本和所有的副本均需装订成册，凡修改处（书写应清楚工整）需加盖供应商公章。</w:t>
      </w:r>
    </w:p>
    <w:p>
      <w:pPr>
        <w:spacing w:line="360" w:lineRule="auto"/>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8.3磋商响应文件应有供应商的法定代表人（负责人）或其委托代理人在规定签章处逐一签署及加盖供应商的公章（副本的签字可以是复印的）。</w:t>
      </w:r>
    </w:p>
    <w:p>
      <w:pPr>
        <w:spacing w:line="360" w:lineRule="auto"/>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8.4磋商响应文件的份数：一式叁份。正本壹份，副本贰份（正本和副本的内容和资料应当一致），并注明“正本”、“副本”字样，正本和副本不符，以正本为准。</w:t>
      </w:r>
    </w:p>
    <w:p>
      <w:pPr>
        <w:spacing w:line="360" w:lineRule="auto"/>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8.5磋商响应文件需评分索引，并按顺序编写页码，磋商响应文件需胶装打印。</w:t>
      </w:r>
    </w:p>
    <w:p>
      <w:pPr>
        <w:pStyle w:val="4"/>
        <w:keepNext w:val="0"/>
        <w:keepLines w:val="0"/>
        <w:spacing w:before="0" w:after="0" w:line="360" w:lineRule="auto"/>
        <w:jc w:val="left"/>
        <w:rPr>
          <w:rFonts w:ascii="仿宋" w:hAnsi="仿宋" w:eastAsia="仿宋" w:cs="仿宋"/>
          <w:color w:val="auto"/>
          <w:sz w:val="24"/>
          <w:szCs w:val="24"/>
        </w:rPr>
      </w:pPr>
      <w:bookmarkStart w:id="67" w:name="_Toc105940818"/>
      <w:bookmarkStart w:id="68" w:name="_Toc105940900"/>
      <w:r>
        <w:rPr>
          <w:rFonts w:hint="eastAsia" w:ascii="仿宋" w:hAnsi="仿宋" w:eastAsia="仿宋" w:cs="仿宋"/>
          <w:color w:val="auto"/>
          <w:sz w:val="24"/>
          <w:szCs w:val="24"/>
        </w:rPr>
        <w:t>9、投标语言及度量衡单位</w:t>
      </w:r>
      <w:bookmarkEnd w:id="67"/>
      <w:bookmarkEnd w:id="68"/>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9.1供应商的磋商响应文件以及供应商就有关投标的所有来往函电等均应使用中文。</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9.2磋商响应文件中所使用的计量单位除磋商文件中另有特殊规定外，一律使用法定计量单位。</w:t>
      </w:r>
    </w:p>
    <w:p>
      <w:pPr>
        <w:pStyle w:val="4"/>
        <w:keepNext w:val="0"/>
        <w:keepLines w:val="0"/>
        <w:spacing w:before="0" w:after="0" w:line="360" w:lineRule="auto"/>
        <w:jc w:val="left"/>
        <w:rPr>
          <w:rFonts w:ascii="仿宋" w:hAnsi="仿宋" w:eastAsia="仿宋" w:cs="仿宋"/>
          <w:color w:val="auto"/>
          <w:sz w:val="24"/>
          <w:szCs w:val="24"/>
        </w:rPr>
      </w:pPr>
      <w:bookmarkStart w:id="69" w:name="_Toc105940819"/>
      <w:bookmarkStart w:id="70" w:name="_Toc105940901"/>
      <w:r>
        <w:rPr>
          <w:rFonts w:hint="eastAsia" w:ascii="仿宋" w:hAnsi="仿宋" w:eastAsia="仿宋" w:cs="仿宋"/>
          <w:color w:val="auto"/>
          <w:sz w:val="24"/>
          <w:szCs w:val="24"/>
        </w:rPr>
        <w:t>10、磋商响应文件构成</w:t>
      </w:r>
      <w:bookmarkEnd w:id="69"/>
      <w:bookmarkEnd w:id="70"/>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10.1供应商编写的磋商响应文件应按照磋商文件第五部分磋商响应文件（格式）的要求编写。</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10.2供应商应将磋商响应文件按顺序装订成册，并编制磋商响应文件资料目录。</w:t>
      </w:r>
    </w:p>
    <w:p>
      <w:pPr>
        <w:pStyle w:val="4"/>
        <w:keepNext w:val="0"/>
        <w:keepLines w:val="0"/>
        <w:spacing w:before="0" w:after="0" w:line="360" w:lineRule="auto"/>
        <w:jc w:val="left"/>
        <w:rPr>
          <w:rFonts w:ascii="仿宋" w:hAnsi="仿宋" w:eastAsia="仿宋" w:cs="仿宋"/>
          <w:color w:val="auto"/>
          <w:sz w:val="24"/>
          <w:szCs w:val="24"/>
        </w:rPr>
      </w:pPr>
      <w:bookmarkStart w:id="71" w:name="_Toc105940820"/>
      <w:bookmarkStart w:id="72" w:name="_Toc105940902"/>
      <w:bookmarkStart w:id="73" w:name="_Toc105940821"/>
      <w:bookmarkStart w:id="74" w:name="_Toc105940903"/>
      <w:r>
        <w:rPr>
          <w:rFonts w:hint="eastAsia" w:ascii="仿宋" w:hAnsi="仿宋" w:eastAsia="仿宋" w:cs="仿宋"/>
          <w:color w:val="auto"/>
          <w:sz w:val="24"/>
          <w:szCs w:val="24"/>
        </w:rPr>
        <w:t>11、承诺函</w:t>
      </w:r>
      <w:bookmarkEnd w:id="71"/>
      <w:bookmarkEnd w:id="72"/>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11.1供应商应按照磋商文件中提供的“磋商承诺函”的格式及要求填写。</w:t>
      </w:r>
    </w:p>
    <w:p>
      <w:pPr>
        <w:pStyle w:val="4"/>
        <w:keepNext w:val="0"/>
        <w:keepLines w:val="0"/>
        <w:spacing w:before="0" w:after="0"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12、投标报价</w:t>
      </w:r>
      <w:bookmarkEnd w:id="73"/>
      <w:bookmarkEnd w:id="74"/>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12.1供应商对所提供服务报价，该报价是供应商响应采购需求的全部工作内容的价格体现，应报出最具有竞争力的价格，项目总报价中需包括服务本身已支付或将支付的各种税费及其他一切与本项目相关的费用。</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12.2供应商应按磋商的要求在磋商响应文件里提供磋商首轮报价，首轮报价不得高于项目预算或最高限价，并根据首轮报价在所附的首轮明细报价表上列明所提供服务的明细报价。供应商需根据项目需求及自身经验填写明细报价。</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12.3在磋商过程中未对磋商内容作出实质性变更、修改的情况下，如二轮报价超过首轮报价，则二轮报价无效，仅以其首轮报价作为最终报价。</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12.4磋商最后报价即为合同签约价。</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12.5最低磋商报价不能作为成交的唯一保证。</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12.6磋商报价应以人民币报价。</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12.7磋商报价的其他要求：无</w:t>
      </w:r>
    </w:p>
    <w:p>
      <w:pPr>
        <w:spacing w:line="360" w:lineRule="auto"/>
        <w:ind w:firstLine="482" w:firstLineChars="200"/>
        <w:rPr>
          <w:rFonts w:ascii="仿宋" w:hAnsi="仿宋" w:eastAsia="仿宋" w:cs="仿宋"/>
          <w:color w:val="auto"/>
        </w:rPr>
      </w:pPr>
      <w:r>
        <w:rPr>
          <w:rFonts w:hint="eastAsia" w:ascii="仿宋" w:hAnsi="仿宋" w:eastAsia="仿宋" w:cs="仿宋"/>
          <w:b/>
          <w:bCs/>
          <w:color w:val="auto"/>
          <w:sz w:val="24"/>
          <w:u w:val="single"/>
        </w:rPr>
        <w:t>12.8</w:t>
      </w:r>
      <w:r>
        <w:rPr>
          <w:rFonts w:hint="eastAsia" w:ascii="仿宋" w:hAnsi="仿宋" w:eastAsia="仿宋" w:cs="仿宋"/>
          <w:b/>
          <w:color w:val="auto"/>
          <w:sz w:val="24"/>
          <w:u w:val="single"/>
        </w:rPr>
        <w:t>供应商需另行准备已加盖公章的空白“</w:t>
      </w:r>
      <w:r>
        <w:rPr>
          <w:rFonts w:hint="eastAsia" w:ascii="仿宋" w:hAnsi="仿宋" w:eastAsia="仿宋" w:cs="仿宋"/>
          <w:b/>
          <w:bCs/>
          <w:color w:val="auto"/>
          <w:sz w:val="24"/>
          <w:u w:val="single"/>
        </w:rPr>
        <w:t>最终（报价）一览表</w:t>
      </w:r>
      <w:r>
        <w:rPr>
          <w:rFonts w:hint="eastAsia" w:ascii="仿宋" w:hAnsi="仿宋" w:eastAsia="仿宋" w:cs="仿宋"/>
          <w:b/>
          <w:color w:val="auto"/>
          <w:sz w:val="24"/>
          <w:u w:val="single"/>
        </w:rPr>
        <w:t>”一份，以备磋商结束后在规定的时间内填报。</w:t>
      </w:r>
    </w:p>
    <w:p>
      <w:pPr>
        <w:pStyle w:val="4"/>
        <w:keepNext w:val="0"/>
        <w:keepLines w:val="0"/>
        <w:spacing w:before="0" w:after="0" w:line="360" w:lineRule="auto"/>
        <w:jc w:val="left"/>
        <w:rPr>
          <w:rFonts w:ascii="仿宋" w:hAnsi="仿宋" w:eastAsia="仿宋" w:cs="仿宋"/>
          <w:color w:val="auto"/>
          <w:sz w:val="24"/>
          <w:szCs w:val="24"/>
        </w:rPr>
      </w:pPr>
      <w:bookmarkStart w:id="75" w:name="_Toc105940822"/>
      <w:bookmarkStart w:id="76" w:name="_Toc105940904"/>
      <w:r>
        <w:rPr>
          <w:rFonts w:hint="eastAsia" w:ascii="仿宋" w:hAnsi="仿宋" w:eastAsia="仿宋" w:cs="仿宋"/>
          <w:color w:val="auto"/>
          <w:sz w:val="24"/>
          <w:szCs w:val="24"/>
        </w:rPr>
        <w:t>13、技术规格要求和服务要求的响应</w:t>
      </w:r>
      <w:bookmarkEnd w:id="75"/>
      <w:bookmarkEnd w:id="76"/>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13.1供应商必须依据技术要求及规格，逐条说明投标服务的技术参数、运行性能以及适用性。</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13.2供应商必须提供其所投标服务是符合磋商文件的技术响应文件。该文件可以是文字资料、拓扑图和数据，并须提供在技术规格中规定的保证服务正常和连续运转期间所需要的所有备件和专用工具的详细清单，包括其价格和供货来源资料。</w:t>
      </w:r>
    </w:p>
    <w:p>
      <w:pPr>
        <w:spacing w:line="360" w:lineRule="auto"/>
        <w:ind w:left="479" w:leftChars="228"/>
        <w:rPr>
          <w:rFonts w:ascii="仿宋" w:hAnsi="仿宋" w:eastAsia="仿宋" w:cs="仿宋"/>
          <w:color w:val="auto"/>
          <w:sz w:val="24"/>
          <w:u w:val="single"/>
        </w:rPr>
      </w:pPr>
      <w:r>
        <w:rPr>
          <w:rFonts w:hint="eastAsia" w:ascii="仿宋" w:hAnsi="仿宋" w:eastAsia="仿宋" w:cs="仿宋"/>
          <w:color w:val="auto"/>
          <w:sz w:val="24"/>
        </w:rPr>
        <w:t>13.3技术规格的响应，应对磋商文件中的技术规格逐项作出实质性响应。13.4供应商的服务承诺应按不低于磋商文件中服务要求的标准做出响应。</w:t>
      </w:r>
    </w:p>
    <w:p>
      <w:pPr>
        <w:pStyle w:val="4"/>
        <w:keepNext w:val="0"/>
        <w:keepLines w:val="0"/>
        <w:spacing w:before="0" w:after="0" w:line="360" w:lineRule="auto"/>
        <w:jc w:val="left"/>
        <w:rPr>
          <w:rFonts w:ascii="仿宋" w:hAnsi="仿宋" w:eastAsia="仿宋" w:cs="仿宋"/>
          <w:color w:val="auto"/>
          <w:sz w:val="24"/>
          <w:szCs w:val="24"/>
        </w:rPr>
      </w:pPr>
      <w:bookmarkStart w:id="77" w:name="_Toc105940905"/>
      <w:bookmarkStart w:id="78" w:name="_Toc105940823"/>
      <w:r>
        <w:rPr>
          <w:rFonts w:hint="eastAsia" w:ascii="仿宋" w:hAnsi="仿宋" w:eastAsia="仿宋" w:cs="仿宋"/>
          <w:color w:val="auto"/>
          <w:sz w:val="24"/>
          <w:szCs w:val="24"/>
        </w:rPr>
        <w:t>14、供应商资格和能力的证明文件</w:t>
      </w:r>
      <w:bookmarkEnd w:id="77"/>
      <w:bookmarkEnd w:id="78"/>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14.1按照合格供应商的规定，供应商应提交证明其有资格参加投标和中标后有能力签订和履行合同的文件，并作为其磋商响应文件的一部分。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14.2供应商除必须具有履行合同所需提供的服务能力外，还必须具备相应的财务、技术等各方面的能力。</w:t>
      </w:r>
      <w:bookmarkStart w:id="79" w:name="_Toc105940824"/>
      <w:bookmarkStart w:id="80" w:name="_Toc105940906"/>
    </w:p>
    <w:p>
      <w:pPr>
        <w:pStyle w:val="4"/>
        <w:keepNext w:val="0"/>
        <w:keepLines w:val="0"/>
        <w:spacing w:before="0" w:after="0"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15、磋商保证金</w:t>
      </w:r>
      <w:bookmarkEnd w:id="79"/>
      <w:bookmarkEnd w:id="80"/>
    </w:p>
    <w:p>
      <w:pPr>
        <w:spacing w:line="360" w:lineRule="auto"/>
        <w:ind w:firstLine="465"/>
        <w:rPr>
          <w:rFonts w:ascii="仿宋" w:hAnsi="仿宋" w:eastAsia="仿宋" w:cs="仿宋"/>
          <w:bCs/>
          <w:color w:val="auto"/>
          <w:sz w:val="24"/>
        </w:rPr>
      </w:pPr>
      <w:r>
        <w:rPr>
          <w:rFonts w:hint="eastAsia" w:ascii="仿宋" w:hAnsi="仿宋" w:eastAsia="仿宋" w:cs="仿宋"/>
          <w:bCs/>
          <w:color w:val="auto"/>
          <w:sz w:val="24"/>
        </w:rPr>
        <w:t>本项目无需缴纳磋商保证金。</w:t>
      </w:r>
      <w:bookmarkStart w:id="81" w:name="_Toc105940825"/>
      <w:bookmarkStart w:id="82" w:name="_Toc105940907"/>
    </w:p>
    <w:p>
      <w:pPr>
        <w:pStyle w:val="4"/>
        <w:keepNext w:val="0"/>
        <w:keepLines w:val="0"/>
        <w:spacing w:before="0" w:after="0"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16、投标有效期</w:t>
      </w:r>
      <w:bookmarkEnd w:id="81"/>
      <w:bookmarkEnd w:id="82"/>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16.1投标有效期为：磋商响应文件自开标之日起</w:t>
      </w:r>
      <w:r>
        <w:rPr>
          <w:rFonts w:hint="eastAsia" w:ascii="仿宋" w:hAnsi="仿宋" w:eastAsia="仿宋" w:cs="仿宋"/>
          <w:b/>
          <w:color w:val="auto"/>
          <w:sz w:val="24"/>
          <w:u w:val="single"/>
        </w:rPr>
        <w:t>45</w:t>
      </w:r>
      <w:r>
        <w:rPr>
          <w:rFonts w:hint="eastAsia" w:ascii="仿宋" w:hAnsi="仿宋" w:eastAsia="仿宋" w:cs="仿宋"/>
          <w:color w:val="auto"/>
          <w:sz w:val="24"/>
        </w:rPr>
        <w:t>天内有效。供应商一旦领取了本磋商文件并参加投标，即被认为接受了投标有效期的约定。</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16.2在特殊情况下，采购人于原投标有效期满之前，可向供应商提出延长投标有效期的要求。这种要求与答复均应采用书面形式（如信件、传真或电报等）。供应商可以拒绝采购人的这一要求而放弃投标。同意延长的供应商既不能要求也不允许修改其磋商响应文件。</w:t>
      </w:r>
    </w:p>
    <w:p>
      <w:pPr>
        <w:pStyle w:val="3"/>
        <w:keepNext w:val="0"/>
        <w:keepLines w:val="0"/>
        <w:spacing w:before="200" w:after="200" w:line="240" w:lineRule="auto"/>
        <w:rPr>
          <w:rFonts w:ascii="仿宋" w:hAnsi="仿宋" w:eastAsia="仿宋" w:cs="仿宋"/>
          <w:color w:val="auto"/>
          <w:sz w:val="30"/>
          <w:szCs w:val="30"/>
        </w:rPr>
      </w:pPr>
      <w:bookmarkStart w:id="83" w:name="_Toc105940908"/>
      <w:bookmarkStart w:id="84" w:name="_Toc105940826"/>
      <w:r>
        <w:rPr>
          <w:rFonts w:hint="eastAsia" w:ascii="仿宋" w:hAnsi="仿宋" w:eastAsia="仿宋" w:cs="仿宋"/>
          <w:color w:val="auto"/>
          <w:sz w:val="30"/>
          <w:szCs w:val="30"/>
        </w:rPr>
        <w:t>四、磋商响应文件的递交</w:t>
      </w:r>
      <w:bookmarkEnd w:id="83"/>
      <w:bookmarkEnd w:id="84"/>
    </w:p>
    <w:p>
      <w:pPr>
        <w:pStyle w:val="4"/>
        <w:keepNext w:val="0"/>
        <w:keepLines w:val="0"/>
        <w:spacing w:before="0" w:after="0" w:line="360" w:lineRule="auto"/>
        <w:jc w:val="left"/>
        <w:rPr>
          <w:rFonts w:ascii="仿宋" w:hAnsi="仿宋" w:eastAsia="仿宋" w:cs="仿宋"/>
          <w:color w:val="auto"/>
          <w:sz w:val="24"/>
          <w:szCs w:val="24"/>
        </w:rPr>
      </w:pPr>
      <w:bookmarkStart w:id="85" w:name="_Toc105940827"/>
      <w:bookmarkStart w:id="86" w:name="_Toc105940909"/>
      <w:r>
        <w:rPr>
          <w:rFonts w:hint="eastAsia" w:ascii="仿宋" w:hAnsi="仿宋" w:eastAsia="仿宋" w:cs="仿宋"/>
          <w:color w:val="auto"/>
          <w:sz w:val="24"/>
          <w:szCs w:val="24"/>
        </w:rPr>
        <w:t>17、磋商响应文件的密封和标记</w:t>
      </w:r>
      <w:bookmarkEnd w:id="85"/>
      <w:bookmarkEnd w:id="86"/>
    </w:p>
    <w:p>
      <w:pPr>
        <w:pStyle w:val="11"/>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17.1</w:t>
      </w:r>
      <w:r>
        <w:rPr>
          <w:rFonts w:hint="eastAsia" w:ascii="仿宋" w:hAnsi="仿宋" w:eastAsia="仿宋" w:cs="仿宋"/>
          <w:color w:val="auto"/>
          <w:sz w:val="24"/>
          <w:szCs w:val="24"/>
          <w:u w:val="single"/>
        </w:rPr>
        <w:t>供应商应将磋商响应文件正本、副本密封，包装物上应加盖供应商公章，并注明供应商名称、项目名称、项目编号。未密封的磋商响应文件，采购人将拒收。</w:t>
      </w:r>
    </w:p>
    <w:p>
      <w:pPr>
        <w:pStyle w:val="4"/>
        <w:keepNext w:val="0"/>
        <w:keepLines w:val="0"/>
        <w:spacing w:before="0" w:after="0" w:line="360" w:lineRule="auto"/>
        <w:jc w:val="left"/>
        <w:rPr>
          <w:rFonts w:ascii="仿宋" w:hAnsi="仿宋" w:eastAsia="仿宋" w:cs="仿宋"/>
          <w:color w:val="auto"/>
          <w:sz w:val="24"/>
          <w:szCs w:val="24"/>
        </w:rPr>
      </w:pPr>
      <w:bookmarkStart w:id="87" w:name="_Toc105940910"/>
      <w:bookmarkStart w:id="88" w:name="_Toc105940828"/>
      <w:r>
        <w:rPr>
          <w:rFonts w:hint="eastAsia" w:ascii="仿宋" w:hAnsi="仿宋" w:eastAsia="仿宋" w:cs="仿宋"/>
          <w:color w:val="auto"/>
          <w:sz w:val="24"/>
          <w:szCs w:val="24"/>
        </w:rPr>
        <w:t>18、投标截止时间</w:t>
      </w:r>
      <w:bookmarkEnd w:id="87"/>
      <w:bookmarkEnd w:id="88"/>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18.1供应商需在磋商文件规定的投标截止时间前，将磋商响应文件邮寄或送达磋商邀请指定的磋商地点。</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18.2</w:t>
      </w:r>
      <w:r>
        <w:rPr>
          <w:rFonts w:hint="eastAsia" w:ascii="仿宋" w:hAnsi="仿宋" w:eastAsia="仿宋" w:cs="仿宋"/>
          <w:b/>
          <w:bCs/>
          <w:color w:val="auto"/>
          <w:sz w:val="24"/>
          <w:u w:val="single"/>
        </w:rPr>
        <w:t>在投标截止时间以后送达的磋商响应文件，采购人拒绝接收</w:t>
      </w:r>
      <w:r>
        <w:rPr>
          <w:rFonts w:hint="eastAsia" w:ascii="仿宋" w:hAnsi="仿宋" w:eastAsia="仿宋" w:cs="仿宋"/>
          <w:color w:val="auto"/>
          <w:sz w:val="24"/>
        </w:rPr>
        <w:t>。</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18.3采购人可通过修改磋商文件自行酌情延长投标截止时间，在此情况下，推迟投标截止时间将以书面形式通知已完成登记领取磋商文件的供应商。</w:t>
      </w:r>
    </w:p>
    <w:p>
      <w:pPr>
        <w:pStyle w:val="4"/>
        <w:keepNext w:val="0"/>
        <w:keepLines w:val="0"/>
        <w:spacing w:before="0" w:after="0" w:line="360" w:lineRule="auto"/>
        <w:jc w:val="left"/>
        <w:rPr>
          <w:rFonts w:ascii="仿宋" w:hAnsi="仿宋" w:eastAsia="仿宋" w:cs="仿宋"/>
          <w:color w:val="auto"/>
          <w:sz w:val="24"/>
          <w:szCs w:val="24"/>
        </w:rPr>
      </w:pPr>
      <w:bookmarkStart w:id="89" w:name="_Toc105940829"/>
      <w:bookmarkStart w:id="90" w:name="_Toc105940911"/>
      <w:r>
        <w:rPr>
          <w:rFonts w:hint="eastAsia" w:ascii="仿宋" w:hAnsi="仿宋" w:eastAsia="仿宋" w:cs="仿宋"/>
          <w:color w:val="auto"/>
          <w:sz w:val="24"/>
          <w:szCs w:val="24"/>
        </w:rPr>
        <w:t>19、磋商响应文件的补充、修改或者撤回</w:t>
      </w:r>
      <w:bookmarkEnd w:id="89"/>
      <w:bookmarkEnd w:id="90"/>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19.1供应商在投标截止时间前，可以对所递交的磋商响应文件进行补充、修改或者撤回，并书面通知采购人。补充、修改的内容应当签署、盖章、密封，包装物上应注明“补充”、“修改”或“撤回”字样。补充、修改的内容作为磋商响应文件的组成部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19.2在投标截止时间之后，供应商不得对其磋商响应文件作任何修改或撤回。</w:t>
      </w:r>
    </w:p>
    <w:p>
      <w:pPr>
        <w:spacing w:line="360" w:lineRule="auto"/>
        <w:ind w:firstLine="480" w:firstLineChars="200"/>
        <w:rPr>
          <w:rFonts w:ascii="仿宋" w:hAnsi="仿宋" w:eastAsia="仿宋" w:cs="仿宋"/>
          <w:color w:val="auto"/>
          <w:sz w:val="24"/>
        </w:rPr>
      </w:pPr>
      <w:bookmarkStart w:id="91" w:name="_Toc105940912"/>
      <w:bookmarkStart w:id="92" w:name="_Toc105940830"/>
      <w:r>
        <w:rPr>
          <w:rFonts w:hint="eastAsia" w:ascii="仿宋" w:hAnsi="仿宋" w:eastAsia="仿宋" w:cs="仿宋"/>
          <w:color w:val="auto"/>
          <w:sz w:val="24"/>
        </w:rPr>
        <w:t>19.3在投标截止时间至采购人在磋商文件中规定的投标有效期满之间的这段时间内，供应商不得撤回其投标。</w:t>
      </w:r>
      <w:bookmarkEnd w:id="91"/>
      <w:bookmarkEnd w:id="92"/>
    </w:p>
    <w:p>
      <w:pPr>
        <w:pStyle w:val="3"/>
        <w:keepNext w:val="0"/>
        <w:keepLines w:val="0"/>
        <w:spacing w:before="200" w:after="200" w:line="240" w:lineRule="auto"/>
        <w:rPr>
          <w:rFonts w:ascii="仿宋" w:hAnsi="仿宋" w:eastAsia="仿宋" w:cs="仿宋"/>
          <w:color w:val="auto"/>
          <w:sz w:val="30"/>
          <w:szCs w:val="30"/>
        </w:rPr>
      </w:pPr>
      <w:bookmarkStart w:id="93" w:name="_Toc105940831"/>
      <w:bookmarkStart w:id="94" w:name="_Toc105940913"/>
      <w:r>
        <w:rPr>
          <w:rFonts w:hint="eastAsia" w:ascii="仿宋" w:hAnsi="仿宋" w:eastAsia="仿宋" w:cs="仿宋"/>
          <w:color w:val="auto"/>
          <w:sz w:val="30"/>
          <w:szCs w:val="30"/>
        </w:rPr>
        <w:t>五、磋商与评定</w:t>
      </w:r>
      <w:bookmarkEnd w:id="93"/>
      <w:bookmarkEnd w:id="94"/>
    </w:p>
    <w:p>
      <w:pPr>
        <w:pStyle w:val="4"/>
        <w:keepNext w:val="0"/>
        <w:keepLines w:val="0"/>
        <w:spacing w:before="0" w:after="0" w:line="360" w:lineRule="auto"/>
        <w:jc w:val="left"/>
        <w:rPr>
          <w:rFonts w:ascii="仿宋" w:hAnsi="仿宋" w:eastAsia="仿宋" w:cs="仿宋"/>
          <w:color w:val="auto"/>
          <w:sz w:val="24"/>
          <w:szCs w:val="24"/>
        </w:rPr>
      </w:pPr>
      <w:bookmarkStart w:id="95" w:name="_Toc105940914"/>
      <w:bookmarkStart w:id="96" w:name="_Toc105940832"/>
      <w:r>
        <w:rPr>
          <w:rFonts w:hint="eastAsia" w:ascii="仿宋" w:hAnsi="仿宋" w:eastAsia="仿宋" w:cs="仿宋"/>
          <w:color w:val="auto"/>
          <w:sz w:val="24"/>
          <w:szCs w:val="24"/>
        </w:rPr>
        <w:t>20、磋商小组组成及磋商文件确认</w:t>
      </w:r>
      <w:bookmarkEnd w:id="95"/>
      <w:bookmarkEnd w:id="96"/>
    </w:p>
    <w:p>
      <w:pPr>
        <w:spacing w:line="360" w:lineRule="auto"/>
        <w:ind w:firstLine="480" w:firstLineChars="200"/>
        <w:rPr>
          <w:rFonts w:ascii="仿宋" w:hAnsi="仿宋" w:eastAsia="仿宋" w:cs="仿宋"/>
          <w:b/>
          <w:color w:val="auto"/>
          <w:sz w:val="24"/>
          <w:u w:val="single"/>
        </w:rPr>
      </w:pPr>
      <w:r>
        <w:rPr>
          <w:rFonts w:hint="eastAsia" w:ascii="仿宋" w:hAnsi="仿宋" w:eastAsia="仿宋" w:cs="仿宋"/>
          <w:color w:val="auto"/>
          <w:sz w:val="24"/>
        </w:rPr>
        <w:t>20.1采购人将在“磋商文件”中规定的时间和地点进行磋商活动。</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20.2磋商文件开启前，由供应商或者其推选的代表检查磋商响应文件的密封情况，并当众宣读磋商顺序号及供应商名称。</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20.3磋商小组成员为3人或3人以上（单数）。</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20.4磋商小组将对磋商文件是否根据采购项目特点和采购人实际需求制定、是否已经采购人书面同意、是否违反国家有关强制性规定等内容进行确认。磋商文件内容违反国家有关强制性规定的，磋商小组应当停止评审并向采购人说明情况。</w:t>
      </w:r>
    </w:p>
    <w:p>
      <w:pPr>
        <w:pStyle w:val="4"/>
        <w:keepNext w:val="0"/>
        <w:keepLines w:val="0"/>
        <w:spacing w:before="0" w:after="0" w:line="360" w:lineRule="auto"/>
        <w:jc w:val="left"/>
        <w:rPr>
          <w:rFonts w:ascii="仿宋" w:hAnsi="仿宋" w:eastAsia="仿宋" w:cs="仿宋"/>
          <w:color w:val="auto"/>
          <w:sz w:val="24"/>
          <w:szCs w:val="24"/>
        </w:rPr>
      </w:pPr>
      <w:bookmarkStart w:id="97" w:name="_Toc105940833"/>
      <w:bookmarkStart w:id="98" w:name="_Toc105940915"/>
      <w:r>
        <w:rPr>
          <w:rFonts w:hint="eastAsia" w:ascii="仿宋" w:hAnsi="仿宋" w:eastAsia="仿宋" w:cs="仿宋"/>
          <w:color w:val="auto"/>
          <w:sz w:val="24"/>
          <w:szCs w:val="24"/>
        </w:rPr>
        <w:t>21、磋商过程的保密</w:t>
      </w:r>
      <w:bookmarkEnd w:id="97"/>
      <w:bookmarkEnd w:id="98"/>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21.1磋商文件开启前，磋商小组将确认响应文件密封情况。</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21.2磋商开始后，至向成交的供应商授予合同时止，与审查、澄清、评价和比较磋商响应的有关资料以及成交建议等，均不得向供应商以及评定无关的其他人员透露。</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21.3在磋商过程中，如果供应商试图在磋商响应文件审查、澄清、比较及授予建议等方面向采购人或参加磋商的人员施加任何影响，都将会导致其响应被拒绝。</w:t>
      </w:r>
    </w:p>
    <w:p>
      <w:pPr>
        <w:pStyle w:val="4"/>
        <w:keepNext w:val="0"/>
        <w:keepLines w:val="0"/>
        <w:spacing w:before="0" w:after="0" w:line="360" w:lineRule="auto"/>
        <w:jc w:val="left"/>
        <w:rPr>
          <w:rFonts w:ascii="仿宋" w:hAnsi="仿宋" w:eastAsia="仿宋" w:cs="仿宋"/>
          <w:color w:val="auto"/>
          <w:sz w:val="24"/>
          <w:szCs w:val="24"/>
        </w:rPr>
      </w:pPr>
      <w:bookmarkStart w:id="99" w:name="_Toc105940834"/>
      <w:bookmarkStart w:id="100" w:name="_Toc105940916"/>
      <w:r>
        <w:rPr>
          <w:rFonts w:hint="eastAsia" w:ascii="仿宋" w:hAnsi="仿宋" w:eastAsia="仿宋" w:cs="仿宋"/>
          <w:color w:val="auto"/>
          <w:sz w:val="24"/>
          <w:szCs w:val="24"/>
        </w:rPr>
        <w:t>22、磋商小组评审纪律</w:t>
      </w:r>
      <w:bookmarkEnd w:id="99"/>
      <w:bookmarkEnd w:id="100"/>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22.1磋商时，磋商小组各成员应当独立对每个供应商的磋商响应文件进行评价，并汇总每个供应商的得分。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磋商小组成员应当按照客观、公正、审慎的原则，根据磋商文件规定的评审程序、评审方法和评审标准进行独立评审。</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22.2评审专家应当遵守评审工作纪律，不得泄露评审情况和评审中获悉的商业秘密。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磋商小组在评审过程中发现供应商有行贿、提供虚假材料或者串通等违法行为的，应当及时向财政部门报告。</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评审专家在评审过程中受到非法干涉的，应当及时向财政、监察等部门举报。</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22.3磋商将采取磋商小组所有成员集中与单一供应商分别进行磋商的方式（不向其他供应商公布、透露其价格等信息），并给予所有参加磋商的供应商平等的磋商机会。</w:t>
      </w:r>
    </w:p>
    <w:p>
      <w:pPr>
        <w:spacing w:line="360" w:lineRule="auto"/>
        <w:ind w:firstLine="482" w:firstLineChars="200"/>
        <w:rPr>
          <w:rFonts w:ascii="仿宋" w:hAnsi="仿宋" w:eastAsia="仿宋" w:cs="仿宋"/>
          <w:b/>
          <w:bCs/>
          <w:color w:val="auto"/>
          <w:sz w:val="24"/>
        </w:rPr>
      </w:pPr>
      <w:bookmarkStart w:id="101" w:name="_Toc105940835"/>
      <w:bookmarkStart w:id="102" w:name="_Toc105940917"/>
      <w:r>
        <w:rPr>
          <w:rFonts w:hint="eastAsia" w:ascii="仿宋" w:hAnsi="仿宋" w:eastAsia="仿宋" w:cs="仿宋"/>
          <w:b/>
          <w:bCs/>
          <w:color w:val="auto"/>
          <w:sz w:val="24"/>
        </w:rPr>
        <w:t>22.4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bookmarkEnd w:id="101"/>
      <w:bookmarkEnd w:id="102"/>
    </w:p>
    <w:p>
      <w:pPr>
        <w:pStyle w:val="4"/>
        <w:keepNext w:val="0"/>
        <w:keepLines w:val="0"/>
        <w:spacing w:before="0" w:after="0" w:line="360" w:lineRule="auto"/>
        <w:jc w:val="left"/>
        <w:rPr>
          <w:rFonts w:ascii="仿宋" w:hAnsi="仿宋" w:eastAsia="仿宋" w:cs="仿宋"/>
          <w:color w:val="auto"/>
          <w:sz w:val="24"/>
          <w:szCs w:val="24"/>
        </w:rPr>
      </w:pPr>
      <w:bookmarkStart w:id="103" w:name="_Toc105940918"/>
      <w:bookmarkStart w:id="104" w:name="_Toc105940836"/>
      <w:r>
        <w:rPr>
          <w:rFonts w:hint="eastAsia" w:ascii="仿宋" w:hAnsi="仿宋" w:eastAsia="仿宋" w:cs="仿宋"/>
          <w:color w:val="auto"/>
          <w:sz w:val="24"/>
          <w:szCs w:val="24"/>
        </w:rPr>
        <w:t>23、磋商响应文件的资格审查</w:t>
      </w:r>
      <w:bookmarkEnd w:id="103"/>
      <w:bookmarkEnd w:id="104"/>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23.1磋商开始后，磋商小组将依法对供应商的资格进行审查。资格审查的内容如下：</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5"/>
        <w:gridCol w:w="2264"/>
        <w:gridCol w:w="5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45" w:type="dxa"/>
            <w:vAlign w:val="center"/>
          </w:tcPr>
          <w:p>
            <w:pPr>
              <w:adjustRightInd w:val="0"/>
              <w:snapToGrid w:val="0"/>
              <w:spacing w:line="20" w:lineRule="atLeast"/>
              <w:jc w:val="center"/>
              <w:rPr>
                <w:rFonts w:ascii="仿宋" w:hAnsi="仿宋" w:eastAsia="仿宋" w:cs="仿宋"/>
                <w:b/>
                <w:color w:val="auto"/>
                <w:sz w:val="20"/>
                <w:szCs w:val="20"/>
              </w:rPr>
            </w:pPr>
            <w:r>
              <w:rPr>
                <w:rFonts w:hint="eastAsia" w:ascii="仿宋" w:hAnsi="仿宋" w:eastAsia="仿宋" w:cs="仿宋"/>
                <w:b/>
                <w:color w:val="auto"/>
                <w:sz w:val="20"/>
                <w:szCs w:val="20"/>
              </w:rPr>
              <w:t>序号</w:t>
            </w:r>
          </w:p>
        </w:tc>
        <w:tc>
          <w:tcPr>
            <w:tcW w:w="2264" w:type="dxa"/>
            <w:vAlign w:val="center"/>
          </w:tcPr>
          <w:p>
            <w:pPr>
              <w:adjustRightInd w:val="0"/>
              <w:snapToGrid w:val="0"/>
              <w:spacing w:line="20" w:lineRule="atLeast"/>
              <w:jc w:val="center"/>
              <w:rPr>
                <w:rFonts w:ascii="仿宋" w:hAnsi="仿宋" w:eastAsia="仿宋" w:cs="仿宋"/>
                <w:b/>
                <w:color w:val="auto"/>
                <w:sz w:val="20"/>
                <w:szCs w:val="20"/>
              </w:rPr>
            </w:pPr>
            <w:r>
              <w:rPr>
                <w:rFonts w:hint="eastAsia" w:ascii="仿宋" w:hAnsi="仿宋" w:eastAsia="仿宋" w:cs="仿宋"/>
                <w:b/>
                <w:color w:val="auto"/>
                <w:sz w:val="20"/>
                <w:szCs w:val="20"/>
              </w:rPr>
              <w:t>审查要素</w:t>
            </w:r>
          </w:p>
        </w:tc>
        <w:tc>
          <w:tcPr>
            <w:tcW w:w="5614" w:type="dxa"/>
            <w:vAlign w:val="center"/>
          </w:tcPr>
          <w:p>
            <w:pPr>
              <w:adjustRightInd w:val="0"/>
              <w:snapToGrid w:val="0"/>
              <w:spacing w:line="20" w:lineRule="atLeast"/>
              <w:jc w:val="center"/>
              <w:rPr>
                <w:rFonts w:ascii="仿宋" w:hAnsi="仿宋" w:eastAsia="仿宋" w:cs="仿宋"/>
                <w:b/>
                <w:color w:val="auto"/>
                <w:sz w:val="20"/>
                <w:szCs w:val="20"/>
              </w:rPr>
            </w:pPr>
            <w:r>
              <w:rPr>
                <w:rFonts w:hint="eastAsia" w:ascii="仿宋" w:hAnsi="仿宋" w:eastAsia="仿宋" w:cs="仿宋"/>
                <w:b/>
                <w:color w:val="auto"/>
                <w:sz w:val="20"/>
                <w:szCs w:val="20"/>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645" w:type="dxa"/>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1</w:t>
            </w:r>
          </w:p>
        </w:tc>
        <w:tc>
          <w:tcPr>
            <w:tcW w:w="2264" w:type="dxa"/>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具有独立承担民事责任的能力</w:t>
            </w:r>
          </w:p>
        </w:tc>
        <w:tc>
          <w:tcPr>
            <w:tcW w:w="5614" w:type="dxa"/>
            <w:vAlign w:val="center"/>
          </w:tcPr>
          <w:p>
            <w:pPr>
              <w:adjustRightInd w:val="0"/>
              <w:snapToGrid w:val="0"/>
              <w:spacing w:line="20" w:lineRule="atLeast"/>
              <w:jc w:val="left"/>
              <w:rPr>
                <w:rFonts w:ascii="仿宋" w:hAnsi="仿宋" w:eastAsia="仿宋" w:cs="仿宋"/>
                <w:color w:val="auto"/>
                <w:sz w:val="20"/>
                <w:szCs w:val="20"/>
              </w:rPr>
            </w:pPr>
            <w:r>
              <w:rPr>
                <w:rFonts w:hint="eastAsia" w:ascii="仿宋" w:hAnsi="仿宋" w:eastAsia="仿宋" w:cs="仿宋"/>
                <w:color w:val="auto"/>
                <w:sz w:val="20"/>
                <w:szCs w:val="20"/>
              </w:rPr>
              <w:t>提供法人或者其他组织的营业执照等证明文件；自然人的身份证明。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645" w:type="dxa"/>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2</w:t>
            </w:r>
          </w:p>
        </w:tc>
        <w:tc>
          <w:tcPr>
            <w:tcW w:w="2264" w:type="dxa"/>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具有良好的商业信誉</w:t>
            </w:r>
          </w:p>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和健全的财务会计制度</w:t>
            </w:r>
          </w:p>
        </w:tc>
        <w:tc>
          <w:tcPr>
            <w:tcW w:w="5614" w:type="dxa"/>
            <w:vAlign w:val="center"/>
          </w:tcPr>
          <w:p>
            <w:pPr>
              <w:pStyle w:val="70"/>
              <w:adjustRightInd w:val="0"/>
              <w:snapToGrid w:val="0"/>
              <w:spacing w:line="20" w:lineRule="atLeast"/>
              <w:rPr>
                <w:rFonts w:ascii="仿宋" w:hAnsi="仿宋" w:eastAsia="仿宋" w:cs="仿宋"/>
                <w:color w:val="auto"/>
                <w:sz w:val="20"/>
                <w:szCs w:val="20"/>
              </w:rPr>
            </w:pPr>
            <w:r>
              <w:rPr>
                <w:rFonts w:hint="eastAsia" w:ascii="仿宋" w:hAnsi="仿宋" w:eastAsia="仿宋" w:cs="仿宋"/>
                <w:color w:val="auto"/>
                <w:sz w:val="20"/>
                <w:szCs w:val="20"/>
                <w:lang w:val="en-US" w:eastAsia="zh-CN"/>
              </w:rPr>
              <w:t>2024或</w:t>
            </w:r>
            <w:r>
              <w:rPr>
                <w:rFonts w:hint="eastAsia" w:ascii="仿宋" w:hAnsi="仿宋" w:eastAsia="仿宋" w:cs="仿宋"/>
                <w:color w:val="auto"/>
                <w:sz w:val="20"/>
                <w:szCs w:val="20"/>
              </w:rPr>
              <w:t>2025年度财务报告（成立不满一年的提供至少一个月），或银行出具的资信证明，或财政部门认可的政府采购专业担保机构出具的磋商担保函等，或提供资格承诺函。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645" w:type="dxa"/>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3</w:t>
            </w:r>
          </w:p>
        </w:tc>
        <w:tc>
          <w:tcPr>
            <w:tcW w:w="2264" w:type="dxa"/>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具有履行合同所必需的设备和专业技术能力</w:t>
            </w:r>
          </w:p>
        </w:tc>
        <w:tc>
          <w:tcPr>
            <w:tcW w:w="5614" w:type="dxa"/>
            <w:vAlign w:val="center"/>
          </w:tcPr>
          <w:p>
            <w:pPr>
              <w:adjustRightInd w:val="0"/>
              <w:snapToGrid w:val="0"/>
              <w:spacing w:line="20" w:lineRule="atLeast"/>
              <w:jc w:val="left"/>
              <w:rPr>
                <w:rFonts w:ascii="仿宋" w:hAnsi="仿宋" w:eastAsia="仿宋" w:cs="仿宋"/>
                <w:color w:val="auto"/>
                <w:sz w:val="20"/>
                <w:szCs w:val="20"/>
              </w:rPr>
            </w:pPr>
            <w:r>
              <w:rPr>
                <w:rFonts w:hint="eastAsia" w:ascii="仿宋" w:hAnsi="仿宋" w:eastAsia="仿宋" w:cs="仿宋"/>
                <w:color w:val="auto"/>
                <w:sz w:val="20"/>
                <w:szCs w:val="20"/>
              </w:rPr>
              <w:t>供应商相关信息一览表，或提供资格承诺函。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645" w:type="dxa"/>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4</w:t>
            </w:r>
          </w:p>
        </w:tc>
        <w:tc>
          <w:tcPr>
            <w:tcW w:w="2264" w:type="dxa"/>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有依法缴纳税收和社会</w:t>
            </w:r>
          </w:p>
          <w:p>
            <w:pPr>
              <w:adjustRightInd w:val="0"/>
              <w:snapToGrid w:val="0"/>
              <w:spacing w:line="20" w:lineRule="atLeast"/>
              <w:rPr>
                <w:rFonts w:ascii="仿宋" w:hAnsi="仿宋" w:eastAsia="仿宋" w:cs="仿宋"/>
                <w:color w:val="auto"/>
                <w:sz w:val="20"/>
                <w:szCs w:val="20"/>
              </w:rPr>
            </w:pPr>
            <w:r>
              <w:rPr>
                <w:rFonts w:hint="eastAsia" w:ascii="仿宋" w:hAnsi="仿宋" w:eastAsia="仿宋" w:cs="仿宋"/>
                <w:color w:val="auto"/>
                <w:sz w:val="20"/>
                <w:szCs w:val="20"/>
              </w:rPr>
              <w:t>保障资金的良好记录</w:t>
            </w:r>
          </w:p>
        </w:tc>
        <w:tc>
          <w:tcPr>
            <w:tcW w:w="5614" w:type="dxa"/>
            <w:vAlign w:val="center"/>
          </w:tcPr>
          <w:p>
            <w:pPr>
              <w:adjustRightInd w:val="0"/>
              <w:snapToGrid w:val="0"/>
              <w:spacing w:line="20" w:lineRule="atLeast"/>
              <w:jc w:val="left"/>
              <w:rPr>
                <w:rFonts w:ascii="仿宋" w:hAnsi="仿宋" w:eastAsia="仿宋" w:cs="仿宋"/>
                <w:color w:val="auto"/>
                <w:sz w:val="20"/>
                <w:szCs w:val="20"/>
              </w:rPr>
            </w:pPr>
            <w:r>
              <w:rPr>
                <w:rFonts w:hint="eastAsia" w:ascii="仿宋" w:hAnsi="仿宋" w:eastAsia="仿宋" w:cs="仿宋"/>
                <w:color w:val="auto"/>
                <w:sz w:val="20"/>
                <w:szCs w:val="20"/>
              </w:rPr>
              <w:t>提供参加本次政府采购活动前六个月（至少一个月）依法缴纳税收和社会保险的相关材料，或提供资格承诺函。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6" w:hRule="atLeast"/>
          <w:jc w:val="center"/>
        </w:trPr>
        <w:tc>
          <w:tcPr>
            <w:tcW w:w="645" w:type="dxa"/>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5</w:t>
            </w:r>
          </w:p>
        </w:tc>
        <w:tc>
          <w:tcPr>
            <w:tcW w:w="2264" w:type="dxa"/>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参加政府采购活动前三年内，在经营活动中没有重大违法记录</w:t>
            </w:r>
          </w:p>
        </w:tc>
        <w:tc>
          <w:tcPr>
            <w:tcW w:w="5614" w:type="dxa"/>
            <w:vAlign w:val="center"/>
          </w:tcPr>
          <w:p>
            <w:pPr>
              <w:adjustRightInd w:val="0"/>
              <w:snapToGrid w:val="0"/>
              <w:spacing w:line="20" w:lineRule="atLeast"/>
              <w:jc w:val="left"/>
              <w:rPr>
                <w:rFonts w:ascii="仿宋" w:hAnsi="仿宋" w:eastAsia="仿宋" w:cs="仿宋"/>
                <w:color w:val="auto"/>
                <w:sz w:val="20"/>
                <w:szCs w:val="20"/>
              </w:rPr>
            </w:pPr>
            <w:r>
              <w:rPr>
                <w:rFonts w:hint="eastAsia" w:ascii="仿宋" w:hAnsi="仿宋" w:eastAsia="仿宋" w:cs="仿宋"/>
                <w:color w:val="auto"/>
                <w:sz w:val="20"/>
                <w:szCs w:val="20"/>
              </w:rPr>
              <w:t>（1）磋商承诺函。</w:t>
            </w:r>
          </w:p>
          <w:p>
            <w:pPr>
              <w:adjustRightInd w:val="0"/>
              <w:snapToGrid w:val="0"/>
              <w:spacing w:line="20" w:lineRule="atLeast"/>
              <w:jc w:val="left"/>
              <w:rPr>
                <w:rFonts w:ascii="仿宋" w:hAnsi="仿宋" w:eastAsia="仿宋" w:cs="仿宋"/>
                <w:color w:val="auto"/>
                <w:sz w:val="20"/>
                <w:szCs w:val="20"/>
              </w:rPr>
            </w:pPr>
            <w:r>
              <w:rPr>
                <w:rFonts w:hint="eastAsia" w:ascii="仿宋" w:hAnsi="仿宋" w:eastAsia="仿宋" w:cs="仿宋"/>
                <w:color w:val="auto"/>
                <w:sz w:val="20"/>
                <w:szCs w:val="20"/>
              </w:rPr>
              <w:t>（2）“信用中国”网站（www.creditchina.gov.cn）、中国政府采购网（www.ccgp.gov.cn）、“信用江苏”网站（http：//credit.jiangsu.gov.cn/）的查询结果未列入失信被执行人名单、重大税收违法案件当事人名单、政府采购严重违法失信行为名单,以现场查询为准。或提供资格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645" w:type="dxa"/>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6</w:t>
            </w:r>
          </w:p>
        </w:tc>
        <w:tc>
          <w:tcPr>
            <w:tcW w:w="2264" w:type="dxa"/>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法律、法规和磋商文件规定的其他资格</w:t>
            </w:r>
          </w:p>
        </w:tc>
        <w:tc>
          <w:tcPr>
            <w:tcW w:w="5614" w:type="dxa"/>
            <w:vAlign w:val="center"/>
          </w:tcPr>
          <w:p>
            <w:pPr>
              <w:adjustRightInd w:val="0"/>
              <w:snapToGrid w:val="0"/>
              <w:spacing w:line="20" w:lineRule="atLeast"/>
              <w:jc w:val="left"/>
              <w:rPr>
                <w:rFonts w:ascii="仿宋" w:hAnsi="仿宋" w:eastAsia="仿宋" w:cs="仿宋"/>
                <w:color w:val="auto"/>
                <w:sz w:val="20"/>
                <w:szCs w:val="20"/>
              </w:rPr>
            </w:pPr>
            <w:r>
              <w:rPr>
                <w:rFonts w:hint="eastAsia" w:ascii="仿宋" w:hAnsi="仿宋" w:eastAsia="仿宋" w:cs="仿宋"/>
                <w:color w:val="auto"/>
                <w:sz w:val="20"/>
                <w:szCs w:val="20"/>
              </w:rPr>
              <w:t>见“第一部分  磋商邀请”。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645" w:type="dxa"/>
            <w:vAlign w:val="center"/>
          </w:tcPr>
          <w:p>
            <w:pPr>
              <w:adjustRightInd w:val="0"/>
              <w:snapToGrid w:val="0"/>
              <w:spacing w:line="20" w:lineRule="atLeast"/>
              <w:jc w:val="center"/>
              <w:rPr>
                <w:rFonts w:ascii="仿宋" w:hAnsi="仿宋" w:eastAsia="仿宋" w:cs="仿宋"/>
                <w:color w:val="auto"/>
                <w:sz w:val="20"/>
                <w:szCs w:val="20"/>
              </w:rPr>
            </w:pPr>
            <w:bookmarkStart w:id="105" w:name="_Toc105940919"/>
            <w:bookmarkStart w:id="106" w:name="_Toc105940837"/>
            <w:r>
              <w:rPr>
                <w:rFonts w:hint="eastAsia" w:ascii="仿宋" w:hAnsi="仿宋" w:eastAsia="仿宋" w:cs="仿宋"/>
                <w:color w:val="auto"/>
                <w:sz w:val="20"/>
                <w:szCs w:val="20"/>
              </w:rPr>
              <w:t>7</w:t>
            </w:r>
          </w:p>
        </w:tc>
        <w:tc>
          <w:tcPr>
            <w:tcW w:w="2264" w:type="dxa"/>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落实政府采购政策需满足的资格要求</w:t>
            </w:r>
          </w:p>
        </w:tc>
        <w:tc>
          <w:tcPr>
            <w:tcW w:w="5614" w:type="dxa"/>
            <w:vAlign w:val="center"/>
          </w:tcPr>
          <w:p>
            <w:pPr>
              <w:adjustRightInd w:val="0"/>
              <w:snapToGrid w:val="0"/>
              <w:spacing w:line="20" w:lineRule="atLeast"/>
              <w:jc w:val="left"/>
              <w:rPr>
                <w:rFonts w:ascii="仿宋" w:hAnsi="仿宋" w:eastAsia="仿宋" w:cs="仿宋"/>
                <w:color w:val="auto"/>
                <w:sz w:val="20"/>
                <w:szCs w:val="20"/>
              </w:rPr>
            </w:pPr>
            <w:r>
              <w:rPr>
                <w:rFonts w:hint="eastAsia" w:ascii="仿宋" w:hAnsi="仿宋" w:eastAsia="仿宋" w:cs="仿宋"/>
                <w:color w:val="auto"/>
                <w:sz w:val="20"/>
                <w:szCs w:val="20"/>
              </w:rPr>
              <w:t>见“第一部分  磋商邀请”。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645" w:type="dxa"/>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8</w:t>
            </w:r>
          </w:p>
        </w:tc>
        <w:tc>
          <w:tcPr>
            <w:tcW w:w="2264" w:type="dxa"/>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本项目特定资格要求</w:t>
            </w:r>
          </w:p>
        </w:tc>
        <w:tc>
          <w:tcPr>
            <w:tcW w:w="5614" w:type="dxa"/>
            <w:vAlign w:val="center"/>
          </w:tcPr>
          <w:p>
            <w:pPr>
              <w:adjustRightInd w:val="0"/>
              <w:snapToGrid w:val="0"/>
              <w:spacing w:line="20" w:lineRule="atLeast"/>
              <w:jc w:val="left"/>
              <w:rPr>
                <w:rFonts w:ascii="仿宋" w:hAnsi="仿宋" w:eastAsia="仿宋" w:cs="仿宋"/>
                <w:color w:val="auto"/>
                <w:sz w:val="20"/>
                <w:szCs w:val="20"/>
              </w:rPr>
            </w:pPr>
            <w:r>
              <w:rPr>
                <w:rFonts w:hint="eastAsia" w:ascii="仿宋" w:hAnsi="仿宋" w:eastAsia="仿宋" w:cs="仿宋"/>
                <w:color w:val="auto"/>
                <w:sz w:val="20"/>
                <w:szCs w:val="20"/>
              </w:rPr>
              <w:t>见“第一部分  磋商邀请”。</w:t>
            </w:r>
          </w:p>
        </w:tc>
      </w:tr>
    </w:tbl>
    <w:p>
      <w:pPr>
        <w:pStyle w:val="4"/>
        <w:keepNext w:val="0"/>
        <w:keepLines w:val="0"/>
        <w:spacing w:after="0"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24、供应商符合性审查</w:t>
      </w:r>
      <w:bookmarkEnd w:id="105"/>
      <w:bookmarkEnd w:id="106"/>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24.1磋商小组应当对磋商响应文件进行符合性审查，审查内容主要是磋商响应文件的有效性、完整性和对磋商文件的响应程度，以确定是否满足磋商文件的实质性要求。</w:t>
      </w:r>
    </w:p>
    <w:tbl>
      <w:tblPr>
        <w:tblStyle w:val="3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1"/>
        <w:gridCol w:w="2265"/>
        <w:gridCol w:w="5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376" w:type="pct"/>
            <w:vAlign w:val="center"/>
          </w:tcPr>
          <w:p>
            <w:pPr>
              <w:adjustRightInd w:val="0"/>
              <w:snapToGrid w:val="0"/>
              <w:spacing w:line="20" w:lineRule="atLeast"/>
              <w:jc w:val="center"/>
              <w:rPr>
                <w:rFonts w:ascii="仿宋" w:hAnsi="仿宋" w:eastAsia="仿宋" w:cs="仿宋"/>
                <w:b/>
                <w:color w:val="auto"/>
                <w:sz w:val="20"/>
                <w:szCs w:val="20"/>
              </w:rPr>
            </w:pPr>
            <w:r>
              <w:rPr>
                <w:rFonts w:hint="eastAsia" w:ascii="仿宋" w:hAnsi="仿宋" w:eastAsia="仿宋" w:cs="仿宋"/>
                <w:b/>
                <w:color w:val="auto"/>
                <w:sz w:val="20"/>
                <w:szCs w:val="20"/>
              </w:rPr>
              <w:t>序号</w:t>
            </w:r>
          </w:p>
        </w:tc>
        <w:tc>
          <w:tcPr>
            <w:tcW w:w="1329" w:type="pct"/>
            <w:vAlign w:val="center"/>
          </w:tcPr>
          <w:p>
            <w:pPr>
              <w:adjustRightInd w:val="0"/>
              <w:snapToGrid w:val="0"/>
              <w:spacing w:line="20" w:lineRule="atLeast"/>
              <w:jc w:val="center"/>
              <w:rPr>
                <w:rFonts w:ascii="仿宋" w:hAnsi="仿宋" w:eastAsia="仿宋" w:cs="仿宋"/>
                <w:b/>
                <w:color w:val="auto"/>
                <w:sz w:val="20"/>
                <w:szCs w:val="20"/>
              </w:rPr>
            </w:pPr>
            <w:r>
              <w:rPr>
                <w:rFonts w:hint="eastAsia" w:ascii="仿宋" w:hAnsi="仿宋" w:eastAsia="仿宋" w:cs="仿宋"/>
                <w:b/>
                <w:color w:val="auto"/>
                <w:sz w:val="20"/>
                <w:szCs w:val="20"/>
              </w:rPr>
              <w:t>审查要素</w:t>
            </w:r>
          </w:p>
        </w:tc>
        <w:tc>
          <w:tcPr>
            <w:tcW w:w="3294" w:type="pct"/>
            <w:vAlign w:val="center"/>
          </w:tcPr>
          <w:p>
            <w:pPr>
              <w:adjustRightInd w:val="0"/>
              <w:snapToGrid w:val="0"/>
              <w:spacing w:line="20" w:lineRule="atLeast"/>
              <w:jc w:val="center"/>
              <w:rPr>
                <w:rFonts w:ascii="仿宋" w:hAnsi="仿宋" w:eastAsia="仿宋" w:cs="仿宋"/>
                <w:b/>
                <w:color w:val="auto"/>
                <w:sz w:val="20"/>
                <w:szCs w:val="20"/>
              </w:rPr>
            </w:pPr>
            <w:r>
              <w:rPr>
                <w:rFonts w:hint="eastAsia" w:ascii="仿宋" w:hAnsi="仿宋" w:eastAsia="仿宋" w:cs="仿宋"/>
                <w:b/>
                <w:color w:val="auto"/>
                <w:sz w:val="20"/>
                <w:szCs w:val="20"/>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376" w:type="pct"/>
            <w:vMerge w:val="restart"/>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1</w:t>
            </w:r>
          </w:p>
        </w:tc>
        <w:tc>
          <w:tcPr>
            <w:tcW w:w="1329" w:type="pct"/>
            <w:vMerge w:val="restart"/>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磋商响应文件有效性</w:t>
            </w:r>
          </w:p>
        </w:tc>
        <w:tc>
          <w:tcPr>
            <w:tcW w:w="3294" w:type="pct"/>
            <w:vAlign w:val="center"/>
          </w:tcPr>
          <w:p>
            <w:pPr>
              <w:adjustRightInd w:val="0"/>
              <w:snapToGrid w:val="0"/>
              <w:spacing w:line="20" w:lineRule="atLeast"/>
              <w:jc w:val="left"/>
              <w:rPr>
                <w:rFonts w:ascii="仿宋" w:hAnsi="仿宋" w:eastAsia="仿宋" w:cs="仿宋"/>
                <w:color w:val="auto"/>
                <w:sz w:val="20"/>
                <w:szCs w:val="20"/>
              </w:rPr>
            </w:pPr>
            <w:r>
              <w:rPr>
                <w:rFonts w:hint="eastAsia" w:ascii="仿宋" w:hAnsi="仿宋" w:eastAsia="仿宋" w:cs="仿宋"/>
                <w:color w:val="auto"/>
                <w:sz w:val="20"/>
                <w:szCs w:val="20"/>
              </w:rPr>
              <w:t>磋商响应文件签署、盖章（含投标函、开标一览表、法定代表人（负责人）身份证明书和法人授权委托书）。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376" w:type="pct"/>
            <w:vMerge w:val="continue"/>
            <w:vAlign w:val="center"/>
          </w:tcPr>
          <w:p>
            <w:pPr>
              <w:adjustRightInd w:val="0"/>
              <w:snapToGrid w:val="0"/>
              <w:spacing w:line="20" w:lineRule="atLeast"/>
              <w:jc w:val="center"/>
              <w:rPr>
                <w:rFonts w:ascii="仿宋" w:hAnsi="仿宋" w:eastAsia="仿宋" w:cs="仿宋"/>
                <w:color w:val="auto"/>
                <w:sz w:val="20"/>
                <w:szCs w:val="20"/>
              </w:rPr>
            </w:pPr>
          </w:p>
        </w:tc>
        <w:tc>
          <w:tcPr>
            <w:tcW w:w="1329" w:type="pct"/>
            <w:vMerge w:val="continue"/>
            <w:vAlign w:val="center"/>
          </w:tcPr>
          <w:p>
            <w:pPr>
              <w:adjustRightInd w:val="0"/>
              <w:snapToGrid w:val="0"/>
              <w:spacing w:line="20" w:lineRule="atLeast"/>
              <w:jc w:val="center"/>
              <w:rPr>
                <w:rFonts w:ascii="仿宋" w:hAnsi="仿宋" w:eastAsia="仿宋" w:cs="仿宋"/>
                <w:color w:val="auto"/>
                <w:sz w:val="20"/>
                <w:szCs w:val="20"/>
              </w:rPr>
            </w:pPr>
          </w:p>
        </w:tc>
        <w:tc>
          <w:tcPr>
            <w:tcW w:w="3294" w:type="pct"/>
            <w:vAlign w:val="center"/>
          </w:tcPr>
          <w:p>
            <w:pPr>
              <w:adjustRightInd w:val="0"/>
              <w:snapToGrid w:val="0"/>
              <w:spacing w:line="20" w:lineRule="atLeast"/>
              <w:jc w:val="left"/>
              <w:rPr>
                <w:rFonts w:ascii="仿宋" w:hAnsi="仿宋" w:eastAsia="仿宋" w:cs="仿宋"/>
                <w:color w:val="auto"/>
                <w:sz w:val="20"/>
                <w:szCs w:val="20"/>
              </w:rPr>
            </w:pPr>
            <w:r>
              <w:rPr>
                <w:rFonts w:hint="eastAsia" w:ascii="仿宋" w:hAnsi="仿宋" w:eastAsia="仿宋" w:cs="仿宋"/>
                <w:color w:val="auto"/>
                <w:sz w:val="20"/>
                <w:szCs w:val="20"/>
              </w:rPr>
              <w:t>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376" w:type="pct"/>
            <w:vMerge w:val="continue"/>
            <w:vAlign w:val="center"/>
          </w:tcPr>
          <w:p>
            <w:pPr>
              <w:adjustRightInd w:val="0"/>
              <w:snapToGrid w:val="0"/>
              <w:spacing w:line="20" w:lineRule="atLeast"/>
              <w:jc w:val="center"/>
              <w:rPr>
                <w:rFonts w:ascii="仿宋" w:hAnsi="仿宋" w:eastAsia="仿宋" w:cs="仿宋"/>
                <w:color w:val="auto"/>
                <w:sz w:val="20"/>
                <w:szCs w:val="20"/>
              </w:rPr>
            </w:pPr>
          </w:p>
        </w:tc>
        <w:tc>
          <w:tcPr>
            <w:tcW w:w="1329" w:type="pct"/>
            <w:vMerge w:val="continue"/>
            <w:vAlign w:val="center"/>
          </w:tcPr>
          <w:p>
            <w:pPr>
              <w:adjustRightInd w:val="0"/>
              <w:snapToGrid w:val="0"/>
              <w:spacing w:line="20" w:lineRule="atLeast"/>
              <w:jc w:val="center"/>
              <w:rPr>
                <w:rFonts w:ascii="仿宋" w:hAnsi="仿宋" w:eastAsia="仿宋" w:cs="仿宋"/>
                <w:color w:val="auto"/>
                <w:sz w:val="20"/>
                <w:szCs w:val="20"/>
              </w:rPr>
            </w:pPr>
          </w:p>
        </w:tc>
        <w:tc>
          <w:tcPr>
            <w:tcW w:w="3294" w:type="pct"/>
            <w:vAlign w:val="center"/>
          </w:tcPr>
          <w:p>
            <w:pPr>
              <w:adjustRightInd w:val="0"/>
              <w:snapToGrid w:val="0"/>
              <w:spacing w:line="20" w:lineRule="atLeast"/>
              <w:jc w:val="left"/>
              <w:rPr>
                <w:rFonts w:ascii="仿宋" w:hAnsi="仿宋" w:eastAsia="仿宋" w:cs="仿宋"/>
                <w:color w:val="auto"/>
                <w:sz w:val="20"/>
                <w:szCs w:val="20"/>
              </w:rPr>
            </w:pPr>
            <w:r>
              <w:rPr>
                <w:rFonts w:hint="eastAsia" w:ascii="仿宋" w:hAnsi="仿宋" w:eastAsia="仿宋" w:cs="仿宋"/>
                <w:color w:val="auto"/>
                <w:sz w:val="20"/>
                <w:szCs w:val="20"/>
              </w:rPr>
              <w:t>无效投标情形的判定和处理。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376" w:type="pct"/>
            <w:vMerge w:val="continue"/>
            <w:vAlign w:val="center"/>
          </w:tcPr>
          <w:p>
            <w:pPr>
              <w:adjustRightInd w:val="0"/>
              <w:snapToGrid w:val="0"/>
              <w:spacing w:line="20" w:lineRule="atLeast"/>
              <w:jc w:val="center"/>
              <w:rPr>
                <w:rFonts w:ascii="仿宋" w:hAnsi="仿宋" w:eastAsia="仿宋" w:cs="仿宋"/>
                <w:color w:val="auto"/>
                <w:sz w:val="20"/>
                <w:szCs w:val="20"/>
              </w:rPr>
            </w:pPr>
          </w:p>
        </w:tc>
        <w:tc>
          <w:tcPr>
            <w:tcW w:w="1329" w:type="pct"/>
            <w:vMerge w:val="continue"/>
            <w:vAlign w:val="center"/>
          </w:tcPr>
          <w:p>
            <w:pPr>
              <w:adjustRightInd w:val="0"/>
              <w:snapToGrid w:val="0"/>
              <w:spacing w:line="20" w:lineRule="atLeast"/>
              <w:jc w:val="center"/>
              <w:rPr>
                <w:rFonts w:ascii="仿宋" w:hAnsi="仿宋" w:eastAsia="仿宋" w:cs="仿宋"/>
                <w:color w:val="auto"/>
                <w:sz w:val="20"/>
                <w:szCs w:val="20"/>
              </w:rPr>
            </w:pPr>
          </w:p>
        </w:tc>
        <w:tc>
          <w:tcPr>
            <w:tcW w:w="3294" w:type="pct"/>
            <w:vAlign w:val="center"/>
          </w:tcPr>
          <w:p>
            <w:pPr>
              <w:adjustRightInd w:val="0"/>
              <w:snapToGrid w:val="0"/>
              <w:spacing w:line="20" w:lineRule="atLeast"/>
              <w:jc w:val="left"/>
              <w:rPr>
                <w:rFonts w:ascii="仿宋" w:hAnsi="仿宋" w:eastAsia="仿宋" w:cs="仿宋"/>
                <w:color w:val="auto"/>
                <w:sz w:val="20"/>
                <w:szCs w:val="20"/>
              </w:rPr>
            </w:pPr>
            <w:r>
              <w:rPr>
                <w:rFonts w:hint="eastAsia" w:ascii="仿宋" w:hAnsi="仿宋" w:eastAsia="仿宋" w:cs="仿宋"/>
                <w:color w:val="auto"/>
                <w:sz w:val="20"/>
                <w:szCs w:val="20"/>
              </w:rPr>
              <w:t>法律、法规和磋商文件规定的其他资格证明材料。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376" w:type="pct"/>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2</w:t>
            </w:r>
          </w:p>
        </w:tc>
        <w:tc>
          <w:tcPr>
            <w:tcW w:w="1329" w:type="pct"/>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磋商响应文件完整性</w:t>
            </w:r>
          </w:p>
        </w:tc>
        <w:tc>
          <w:tcPr>
            <w:tcW w:w="3294" w:type="pct"/>
            <w:vAlign w:val="center"/>
          </w:tcPr>
          <w:p>
            <w:pPr>
              <w:adjustRightInd w:val="0"/>
              <w:snapToGrid w:val="0"/>
              <w:spacing w:line="20" w:lineRule="atLeast"/>
              <w:jc w:val="left"/>
              <w:rPr>
                <w:rFonts w:ascii="仿宋" w:hAnsi="仿宋" w:eastAsia="仿宋" w:cs="仿宋"/>
                <w:color w:val="auto"/>
                <w:sz w:val="20"/>
                <w:szCs w:val="20"/>
              </w:rPr>
            </w:pPr>
            <w:r>
              <w:rPr>
                <w:rFonts w:hint="eastAsia" w:ascii="仿宋" w:hAnsi="仿宋" w:eastAsia="仿宋" w:cs="仿宋"/>
                <w:color w:val="auto"/>
                <w:sz w:val="20"/>
                <w:szCs w:val="20"/>
              </w:rPr>
              <w:t>磋商响应文件内容完整性、齐全性。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376" w:type="pct"/>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3</w:t>
            </w:r>
          </w:p>
        </w:tc>
        <w:tc>
          <w:tcPr>
            <w:tcW w:w="1329" w:type="pct"/>
            <w:vAlign w:val="center"/>
          </w:tcPr>
          <w:p>
            <w:pPr>
              <w:adjustRightInd w:val="0"/>
              <w:snapToGrid w:val="0"/>
              <w:spacing w:line="20" w:lineRule="atLeast"/>
              <w:jc w:val="center"/>
              <w:rPr>
                <w:rFonts w:ascii="仿宋" w:hAnsi="仿宋" w:eastAsia="仿宋" w:cs="仿宋"/>
                <w:color w:val="auto"/>
                <w:sz w:val="20"/>
                <w:szCs w:val="20"/>
              </w:rPr>
            </w:pPr>
            <w:r>
              <w:rPr>
                <w:rFonts w:hint="eastAsia" w:ascii="仿宋" w:hAnsi="仿宋" w:eastAsia="仿宋" w:cs="仿宋"/>
                <w:color w:val="auto"/>
                <w:sz w:val="20"/>
                <w:szCs w:val="20"/>
              </w:rPr>
              <w:t>对磋商文件响应程度</w:t>
            </w:r>
          </w:p>
        </w:tc>
        <w:tc>
          <w:tcPr>
            <w:tcW w:w="3294" w:type="pct"/>
            <w:vAlign w:val="center"/>
          </w:tcPr>
          <w:p>
            <w:pPr>
              <w:adjustRightInd w:val="0"/>
              <w:snapToGrid w:val="0"/>
              <w:spacing w:line="20" w:lineRule="atLeast"/>
              <w:jc w:val="left"/>
              <w:rPr>
                <w:rFonts w:ascii="仿宋" w:hAnsi="仿宋" w:eastAsia="仿宋" w:cs="仿宋"/>
                <w:color w:val="auto"/>
                <w:sz w:val="20"/>
                <w:szCs w:val="20"/>
              </w:rPr>
            </w:pPr>
            <w:r>
              <w:rPr>
                <w:rFonts w:hint="eastAsia" w:ascii="仿宋" w:hAnsi="仿宋" w:eastAsia="仿宋" w:cs="仿宋"/>
                <w:color w:val="auto"/>
                <w:sz w:val="20"/>
                <w:szCs w:val="20"/>
              </w:rPr>
              <w:t>审查磋商响应文件与磋商文件要求的主要条款、条件和技术规格是否相符，是否存在重大偏离或保留。</w:t>
            </w:r>
          </w:p>
        </w:tc>
      </w:tr>
    </w:tbl>
    <w:p>
      <w:pPr>
        <w:spacing w:before="240"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审查磋商响应文件与磋商文件要求的主要条款、条件和技术规格是否相符，是否存在重大偏离或保留。所谓重大偏离或保留系指影响到磋商文件规定的供货（或服务）范围、质量和性能的，或者在实质上与磋商文件不一致，有限制采购方权利和投标方义务的规定，而纠正这些偏离或保留将会对其他实质上响应磋商文件的投标方的竞争地位产生不公正的影响（重大偏离或保留的认定须经磋商小组半数以上同意）。</w:t>
      </w:r>
      <w:r>
        <w:rPr>
          <w:rFonts w:hint="eastAsia" w:ascii="仿宋" w:hAnsi="仿宋" w:eastAsia="仿宋" w:cs="仿宋"/>
          <w:b/>
          <w:color w:val="auto"/>
          <w:sz w:val="24"/>
        </w:rPr>
        <w:t>磋商小组决定磋商响应文件的响应性只根据磋商响应文件本身的内容，而不寻求外部的证据。</w:t>
      </w:r>
    </w:p>
    <w:p>
      <w:pPr>
        <w:pStyle w:val="4"/>
        <w:keepNext w:val="0"/>
        <w:keepLines w:val="0"/>
        <w:spacing w:before="0" w:after="0" w:line="360" w:lineRule="auto"/>
        <w:jc w:val="left"/>
        <w:rPr>
          <w:rFonts w:ascii="仿宋" w:hAnsi="仿宋" w:eastAsia="仿宋" w:cs="仿宋"/>
          <w:color w:val="auto"/>
          <w:sz w:val="24"/>
          <w:szCs w:val="24"/>
        </w:rPr>
      </w:pPr>
      <w:bookmarkStart w:id="107" w:name="_Toc105940920"/>
      <w:bookmarkStart w:id="108" w:name="_Toc105940838"/>
      <w:r>
        <w:rPr>
          <w:rFonts w:hint="eastAsia" w:ascii="仿宋" w:hAnsi="仿宋" w:eastAsia="仿宋" w:cs="仿宋"/>
          <w:color w:val="auto"/>
          <w:sz w:val="24"/>
          <w:szCs w:val="24"/>
        </w:rPr>
        <w:t>25、无效磋商的情形</w:t>
      </w:r>
      <w:bookmarkEnd w:id="107"/>
      <w:bookmarkEnd w:id="108"/>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供应商存在下列情况之一的，其投标无效：</w:t>
      </w:r>
    </w:p>
    <w:p>
      <w:pPr>
        <w:spacing w:line="360" w:lineRule="auto"/>
        <w:ind w:firstLine="482" w:firstLineChars="200"/>
        <w:rPr>
          <w:rFonts w:ascii="仿宋" w:hAnsi="仿宋" w:eastAsia="仿宋" w:cs="仿宋"/>
          <w:b/>
          <w:color w:val="auto"/>
          <w:sz w:val="24"/>
          <w:u w:val="single"/>
        </w:rPr>
      </w:pPr>
      <w:r>
        <w:rPr>
          <w:rFonts w:hint="eastAsia" w:ascii="仿宋" w:hAnsi="仿宋" w:eastAsia="仿宋" w:cs="仿宋"/>
          <w:b/>
          <w:color w:val="auto"/>
          <w:sz w:val="24"/>
        </w:rPr>
        <w:t>（1）</w:t>
      </w:r>
      <w:r>
        <w:rPr>
          <w:rFonts w:hint="eastAsia" w:ascii="仿宋" w:hAnsi="仿宋" w:eastAsia="仿宋" w:cs="仿宋"/>
          <w:b/>
          <w:color w:val="auto"/>
          <w:sz w:val="24"/>
          <w:u w:val="single"/>
        </w:rPr>
        <w:t>未按规定由供应商的法定代表人（负责人）签字或盖章；或其授权委托代理人未按规定签字的；或未加盖供应商公章的；或签字人未经法定代表人（负责人）有效授权委托的。</w:t>
      </w:r>
    </w:p>
    <w:p>
      <w:pPr>
        <w:spacing w:line="360" w:lineRule="auto"/>
        <w:ind w:firstLine="482" w:firstLineChars="200"/>
        <w:rPr>
          <w:rFonts w:ascii="仿宋" w:hAnsi="仿宋" w:eastAsia="仿宋" w:cs="仿宋"/>
          <w:b/>
          <w:color w:val="auto"/>
          <w:sz w:val="24"/>
          <w:u w:val="single"/>
        </w:rPr>
      </w:pPr>
      <w:r>
        <w:rPr>
          <w:rFonts w:hint="eastAsia" w:ascii="仿宋" w:hAnsi="仿宋" w:eastAsia="仿宋" w:cs="仿宋"/>
          <w:b/>
          <w:color w:val="auto"/>
          <w:sz w:val="24"/>
        </w:rPr>
        <w:t>（2）</w:t>
      </w:r>
      <w:r>
        <w:rPr>
          <w:rFonts w:hint="eastAsia" w:ascii="仿宋" w:hAnsi="仿宋" w:eastAsia="仿宋" w:cs="仿宋"/>
          <w:b/>
          <w:color w:val="auto"/>
          <w:sz w:val="24"/>
          <w:u w:val="single"/>
        </w:rPr>
        <w:t>如有授权委托代理人，未提供授权委托代理人授权委托书的。</w:t>
      </w:r>
    </w:p>
    <w:p>
      <w:pPr>
        <w:spacing w:line="360" w:lineRule="auto"/>
        <w:ind w:firstLine="482" w:firstLineChars="200"/>
        <w:rPr>
          <w:rFonts w:ascii="仿宋" w:hAnsi="仿宋" w:eastAsia="仿宋" w:cs="仿宋"/>
          <w:b/>
          <w:color w:val="auto"/>
          <w:sz w:val="24"/>
          <w:u w:val="single"/>
        </w:rPr>
      </w:pPr>
      <w:r>
        <w:rPr>
          <w:rFonts w:hint="eastAsia" w:ascii="仿宋" w:hAnsi="仿宋" w:eastAsia="仿宋" w:cs="仿宋"/>
          <w:b/>
          <w:color w:val="auto"/>
          <w:sz w:val="24"/>
        </w:rPr>
        <w:t>（3）</w:t>
      </w:r>
      <w:r>
        <w:rPr>
          <w:rFonts w:hint="eastAsia" w:ascii="仿宋" w:hAnsi="仿宋" w:eastAsia="仿宋" w:cs="仿宋"/>
          <w:b/>
          <w:color w:val="auto"/>
          <w:sz w:val="24"/>
          <w:u w:val="single"/>
        </w:rPr>
        <w:t>单位负责人为同一人或者存在直接控理人，未提供授权委托股、管理关系的不同供应商参加同一合同项下的政府采购活动的。</w:t>
      </w:r>
    </w:p>
    <w:p>
      <w:pPr>
        <w:spacing w:line="360" w:lineRule="auto"/>
        <w:ind w:firstLine="482" w:firstLineChars="200"/>
        <w:rPr>
          <w:rFonts w:ascii="仿宋" w:hAnsi="仿宋" w:eastAsia="仿宋" w:cs="仿宋"/>
          <w:b/>
          <w:color w:val="auto"/>
          <w:sz w:val="24"/>
          <w:u w:val="single"/>
        </w:rPr>
      </w:pPr>
      <w:r>
        <w:rPr>
          <w:rFonts w:hint="eastAsia" w:ascii="仿宋" w:hAnsi="仿宋" w:eastAsia="仿宋" w:cs="仿宋"/>
          <w:b/>
          <w:color w:val="auto"/>
          <w:sz w:val="24"/>
        </w:rPr>
        <w:t>（4）</w:t>
      </w:r>
      <w:r>
        <w:rPr>
          <w:rFonts w:hint="eastAsia" w:ascii="仿宋" w:hAnsi="仿宋" w:eastAsia="仿宋" w:cs="仿宋"/>
          <w:b/>
          <w:color w:val="auto"/>
          <w:sz w:val="24"/>
          <w:u w:val="single"/>
        </w:rPr>
        <w:t>不具备磋商文件中规定的资格要求的。</w:t>
      </w:r>
    </w:p>
    <w:p>
      <w:pPr>
        <w:spacing w:line="360" w:lineRule="auto"/>
        <w:ind w:left="1" w:firstLine="482" w:firstLineChars="200"/>
        <w:rPr>
          <w:rFonts w:ascii="仿宋" w:hAnsi="仿宋" w:eastAsia="仿宋" w:cs="仿宋"/>
          <w:b/>
          <w:color w:val="auto"/>
          <w:sz w:val="24"/>
          <w:u w:val="single"/>
        </w:rPr>
      </w:pPr>
      <w:r>
        <w:rPr>
          <w:rFonts w:hint="eastAsia" w:ascii="仿宋" w:hAnsi="仿宋" w:eastAsia="仿宋" w:cs="仿宋"/>
          <w:b/>
          <w:color w:val="auto"/>
          <w:sz w:val="24"/>
        </w:rPr>
        <w:t>（5）</w:t>
      </w:r>
      <w:r>
        <w:rPr>
          <w:rFonts w:hint="eastAsia" w:ascii="仿宋" w:hAnsi="仿宋" w:eastAsia="仿宋" w:cs="仿宋"/>
          <w:b/>
          <w:color w:val="auto"/>
          <w:sz w:val="24"/>
          <w:u w:val="single"/>
        </w:rPr>
        <w:t>“信用中国”网站（</w:t>
      </w:r>
      <w:r>
        <w:rPr>
          <w:color w:val="auto"/>
        </w:rPr>
        <w:fldChar w:fldCharType="begin"/>
      </w:r>
      <w:r>
        <w:rPr>
          <w:color w:val="auto"/>
        </w:rPr>
        <w:instrText xml:space="preserve"> HYPERLINK "http://www.creditchina.gov.cn" </w:instrText>
      </w:r>
      <w:r>
        <w:rPr>
          <w:color w:val="auto"/>
        </w:rPr>
        <w:fldChar w:fldCharType="separate"/>
      </w:r>
      <w:r>
        <w:rPr>
          <w:rStyle w:val="40"/>
          <w:rFonts w:hint="eastAsia" w:ascii="仿宋" w:hAnsi="仿宋" w:eastAsia="仿宋" w:cs="仿宋"/>
          <w:b/>
          <w:color w:val="auto"/>
          <w:sz w:val="24"/>
        </w:rPr>
        <w:t>www.creditchina.gov.cn</w:t>
      </w:r>
      <w:r>
        <w:rPr>
          <w:rStyle w:val="40"/>
          <w:rFonts w:hint="eastAsia" w:ascii="仿宋" w:hAnsi="仿宋" w:eastAsia="仿宋" w:cs="仿宋"/>
          <w:b/>
          <w:color w:val="auto"/>
          <w:sz w:val="24"/>
        </w:rPr>
        <w:fldChar w:fldCharType="end"/>
      </w:r>
      <w:r>
        <w:rPr>
          <w:rFonts w:hint="eastAsia" w:ascii="仿宋" w:hAnsi="仿宋" w:eastAsia="仿宋" w:cs="仿宋"/>
          <w:b/>
          <w:color w:val="auto"/>
          <w:sz w:val="24"/>
          <w:u w:val="single"/>
        </w:rPr>
        <w:t>）、中国政府采购网（</w:t>
      </w:r>
      <w:r>
        <w:rPr>
          <w:color w:val="auto"/>
        </w:rPr>
        <w:fldChar w:fldCharType="begin"/>
      </w:r>
      <w:r>
        <w:rPr>
          <w:color w:val="auto"/>
        </w:rPr>
        <w:instrText xml:space="preserve"> HYPERLINK "http://www.ccgp.gov.cn" </w:instrText>
      </w:r>
      <w:r>
        <w:rPr>
          <w:color w:val="auto"/>
        </w:rPr>
        <w:fldChar w:fldCharType="separate"/>
      </w:r>
      <w:r>
        <w:rPr>
          <w:rStyle w:val="40"/>
          <w:rFonts w:hint="eastAsia" w:ascii="仿宋" w:hAnsi="仿宋" w:eastAsia="仿宋" w:cs="仿宋"/>
          <w:b/>
          <w:color w:val="auto"/>
          <w:sz w:val="24"/>
        </w:rPr>
        <w:t>www.ccgp.gov.cn</w:t>
      </w:r>
      <w:r>
        <w:rPr>
          <w:rStyle w:val="40"/>
          <w:rFonts w:hint="eastAsia" w:ascii="仿宋" w:hAnsi="仿宋" w:eastAsia="仿宋" w:cs="仿宋"/>
          <w:b/>
          <w:color w:val="auto"/>
          <w:sz w:val="24"/>
        </w:rPr>
        <w:fldChar w:fldCharType="end"/>
      </w:r>
      <w:r>
        <w:rPr>
          <w:rFonts w:hint="eastAsia" w:ascii="仿宋" w:hAnsi="仿宋" w:eastAsia="仿宋" w:cs="仿宋"/>
          <w:b/>
          <w:color w:val="auto"/>
          <w:sz w:val="24"/>
          <w:u w:val="single"/>
        </w:rPr>
        <w:t>）、“信用江苏”网站（</w:t>
      </w:r>
      <w:r>
        <w:rPr>
          <w:color w:val="auto"/>
        </w:rPr>
        <w:fldChar w:fldCharType="begin"/>
      </w:r>
      <w:r>
        <w:rPr>
          <w:color w:val="auto"/>
        </w:rPr>
        <w:instrText xml:space="preserve"> HYPERLINK "http://www.jscredit.gov.cn" </w:instrText>
      </w:r>
      <w:r>
        <w:rPr>
          <w:color w:val="auto"/>
        </w:rPr>
        <w:fldChar w:fldCharType="separate"/>
      </w:r>
      <w:r>
        <w:rPr>
          <w:rStyle w:val="40"/>
          <w:rFonts w:hint="eastAsia" w:ascii="仿宋" w:hAnsi="仿宋" w:eastAsia="仿宋" w:cs="仿宋"/>
          <w:b/>
          <w:color w:val="auto"/>
          <w:sz w:val="24"/>
        </w:rPr>
        <w:t>http：//www.jscredit.gov.cn</w:t>
      </w:r>
      <w:r>
        <w:rPr>
          <w:rStyle w:val="40"/>
          <w:rFonts w:hint="eastAsia" w:ascii="仿宋" w:hAnsi="仿宋" w:eastAsia="仿宋" w:cs="仿宋"/>
          <w:b/>
          <w:color w:val="auto"/>
          <w:sz w:val="24"/>
        </w:rPr>
        <w:fldChar w:fldCharType="end"/>
      </w:r>
      <w:r>
        <w:rPr>
          <w:rFonts w:hint="eastAsia" w:ascii="仿宋" w:hAnsi="仿宋" w:eastAsia="仿宋" w:cs="仿宋"/>
          <w:b/>
          <w:color w:val="auto"/>
          <w:sz w:val="24"/>
          <w:u w:val="single"/>
        </w:rPr>
        <w:t>）查询结果为失信被执行人名单、重大税收违法案件当事人名单、政府采购严重违法失信行为名单及其他不符合《中华人民共和国政府采购法》第二十二条规定条件的供应商。</w:t>
      </w:r>
    </w:p>
    <w:p>
      <w:pPr>
        <w:spacing w:line="360" w:lineRule="auto"/>
        <w:ind w:left="1" w:firstLine="482" w:firstLineChars="200"/>
        <w:rPr>
          <w:rFonts w:ascii="仿宋" w:hAnsi="仿宋" w:eastAsia="仿宋" w:cs="仿宋"/>
          <w:b/>
          <w:color w:val="auto"/>
          <w:sz w:val="24"/>
          <w:u w:val="single"/>
        </w:rPr>
      </w:pPr>
      <w:r>
        <w:rPr>
          <w:rFonts w:hint="eastAsia" w:ascii="仿宋" w:hAnsi="仿宋" w:eastAsia="仿宋" w:cs="仿宋"/>
          <w:b/>
          <w:color w:val="auto"/>
          <w:sz w:val="24"/>
        </w:rPr>
        <w:t>（6）</w:t>
      </w:r>
      <w:r>
        <w:rPr>
          <w:rFonts w:hint="eastAsia" w:ascii="仿宋" w:hAnsi="仿宋" w:eastAsia="仿宋" w:cs="仿宋"/>
          <w:b/>
          <w:color w:val="auto"/>
          <w:sz w:val="24"/>
          <w:u w:val="single"/>
        </w:rPr>
        <w:t>报价超过磋商文件中规定的预算金额或最高限价的。</w:t>
      </w:r>
    </w:p>
    <w:p>
      <w:pPr>
        <w:spacing w:line="360" w:lineRule="auto"/>
        <w:ind w:left="1" w:firstLine="482" w:firstLineChars="200"/>
        <w:rPr>
          <w:rFonts w:ascii="仿宋" w:hAnsi="仿宋" w:eastAsia="仿宋" w:cs="仿宋"/>
          <w:b/>
          <w:color w:val="auto"/>
          <w:sz w:val="24"/>
          <w:u w:val="single"/>
        </w:rPr>
      </w:pPr>
      <w:r>
        <w:rPr>
          <w:rFonts w:hint="eastAsia" w:ascii="仿宋" w:hAnsi="仿宋" w:eastAsia="仿宋" w:cs="仿宋"/>
          <w:b/>
          <w:color w:val="auto"/>
          <w:sz w:val="24"/>
        </w:rPr>
        <w:t>（7）</w:t>
      </w:r>
      <w:r>
        <w:rPr>
          <w:rFonts w:hint="eastAsia" w:ascii="仿宋" w:hAnsi="仿宋" w:eastAsia="仿宋" w:cs="仿宋"/>
          <w:b/>
          <w:color w:val="auto"/>
          <w:sz w:val="24"/>
          <w:u w:val="single"/>
        </w:rPr>
        <w:t>磋商小组认为供应商的报价明显低于其他通过符合性审查供应商的报价，有可能影响产品质量或者不能诚信履约，要求供应商在评标现场合理的时间内提供书面说明，必要时提交相关证明材料，供应商不能证明其报价合理性的。</w:t>
      </w:r>
    </w:p>
    <w:p>
      <w:pPr>
        <w:spacing w:line="360" w:lineRule="auto"/>
        <w:ind w:left="1" w:firstLine="482" w:firstLineChars="200"/>
        <w:rPr>
          <w:rFonts w:ascii="仿宋" w:hAnsi="仿宋" w:eastAsia="仿宋" w:cs="仿宋"/>
          <w:b/>
          <w:color w:val="auto"/>
          <w:sz w:val="24"/>
          <w:u w:val="single"/>
        </w:rPr>
      </w:pPr>
      <w:r>
        <w:rPr>
          <w:rFonts w:hint="eastAsia" w:ascii="仿宋" w:hAnsi="仿宋" w:eastAsia="仿宋" w:cs="仿宋"/>
          <w:b/>
          <w:color w:val="auto"/>
          <w:sz w:val="24"/>
        </w:rPr>
        <w:t>（8）</w:t>
      </w:r>
      <w:r>
        <w:rPr>
          <w:rFonts w:hint="eastAsia" w:ascii="仿宋" w:hAnsi="仿宋" w:eastAsia="仿宋" w:cs="仿宋"/>
          <w:b/>
          <w:color w:val="auto"/>
          <w:sz w:val="24"/>
          <w:u w:val="single"/>
        </w:rPr>
        <w:t>供应商提交的是可选择报价的。</w:t>
      </w:r>
    </w:p>
    <w:p>
      <w:pPr>
        <w:spacing w:line="360" w:lineRule="auto"/>
        <w:ind w:left="1" w:firstLine="482" w:firstLineChars="200"/>
        <w:rPr>
          <w:rFonts w:ascii="仿宋" w:hAnsi="仿宋" w:eastAsia="仿宋" w:cs="仿宋"/>
          <w:b/>
          <w:color w:val="auto"/>
          <w:sz w:val="24"/>
          <w:u w:val="single"/>
        </w:rPr>
      </w:pPr>
      <w:r>
        <w:rPr>
          <w:rFonts w:hint="eastAsia" w:ascii="仿宋" w:hAnsi="仿宋" w:eastAsia="仿宋" w:cs="仿宋"/>
          <w:b/>
          <w:color w:val="auto"/>
          <w:sz w:val="24"/>
        </w:rPr>
        <w:t>（9）</w:t>
      </w:r>
      <w:r>
        <w:rPr>
          <w:rFonts w:hint="eastAsia" w:ascii="仿宋" w:hAnsi="仿宋" w:eastAsia="仿宋" w:cs="仿宋"/>
          <w:b/>
          <w:color w:val="auto"/>
          <w:sz w:val="24"/>
          <w:u w:val="single"/>
        </w:rPr>
        <w:t>磋商响应文件中提供了虚假或失实资料的。</w:t>
      </w:r>
    </w:p>
    <w:p>
      <w:pPr>
        <w:spacing w:line="360" w:lineRule="auto"/>
        <w:ind w:firstLine="482" w:firstLineChars="200"/>
        <w:rPr>
          <w:rFonts w:ascii="仿宋" w:hAnsi="仿宋" w:eastAsia="仿宋" w:cs="仿宋"/>
          <w:b/>
          <w:color w:val="auto"/>
          <w:sz w:val="24"/>
          <w:u w:val="single"/>
        </w:rPr>
      </w:pPr>
      <w:r>
        <w:rPr>
          <w:rFonts w:hint="eastAsia" w:ascii="仿宋" w:hAnsi="仿宋" w:eastAsia="仿宋" w:cs="仿宋"/>
          <w:b/>
          <w:color w:val="auto"/>
          <w:sz w:val="24"/>
        </w:rPr>
        <w:t>（10）</w:t>
      </w:r>
      <w:r>
        <w:rPr>
          <w:rFonts w:hint="eastAsia" w:ascii="仿宋" w:hAnsi="仿宋" w:eastAsia="仿宋" w:cs="仿宋"/>
          <w:b/>
          <w:color w:val="auto"/>
          <w:sz w:val="24"/>
          <w:u w:val="single"/>
        </w:rPr>
        <w:t>不同供应商的磋商响应文件出现了磋商小组认为不应当雷同的。</w:t>
      </w:r>
    </w:p>
    <w:p>
      <w:pPr>
        <w:spacing w:line="360" w:lineRule="auto"/>
        <w:ind w:left="1" w:firstLine="482" w:firstLineChars="200"/>
        <w:rPr>
          <w:rFonts w:ascii="仿宋" w:hAnsi="仿宋" w:eastAsia="仿宋" w:cs="仿宋"/>
          <w:b/>
          <w:color w:val="auto"/>
          <w:sz w:val="24"/>
          <w:u w:val="single"/>
        </w:rPr>
      </w:pPr>
      <w:r>
        <w:rPr>
          <w:rFonts w:hint="eastAsia" w:ascii="仿宋" w:hAnsi="仿宋" w:eastAsia="仿宋" w:cs="仿宋"/>
          <w:b/>
          <w:color w:val="auto"/>
          <w:sz w:val="24"/>
        </w:rPr>
        <w:t>（11）</w:t>
      </w:r>
      <w:r>
        <w:rPr>
          <w:rFonts w:hint="eastAsia" w:ascii="仿宋" w:hAnsi="仿宋" w:eastAsia="仿宋" w:cs="仿宋"/>
          <w:b/>
          <w:color w:val="auto"/>
          <w:sz w:val="24"/>
          <w:u w:val="single"/>
        </w:rPr>
        <w:t>磋商响应文件含有采购人不能接受的附加条件的。</w:t>
      </w:r>
    </w:p>
    <w:p>
      <w:pPr>
        <w:spacing w:line="360" w:lineRule="auto"/>
        <w:ind w:firstLine="482" w:firstLineChars="200"/>
        <w:rPr>
          <w:rFonts w:ascii="仿宋" w:hAnsi="仿宋" w:eastAsia="仿宋" w:cs="仿宋"/>
          <w:b/>
          <w:color w:val="auto"/>
          <w:sz w:val="24"/>
          <w:u w:val="single"/>
        </w:rPr>
      </w:pPr>
      <w:r>
        <w:rPr>
          <w:rFonts w:hint="eastAsia" w:ascii="仿宋" w:hAnsi="仿宋" w:eastAsia="仿宋" w:cs="仿宋"/>
          <w:b/>
          <w:color w:val="auto"/>
          <w:sz w:val="24"/>
        </w:rPr>
        <w:t>（12）</w:t>
      </w:r>
      <w:r>
        <w:rPr>
          <w:rFonts w:hint="eastAsia" w:ascii="仿宋" w:hAnsi="仿宋" w:eastAsia="仿宋" w:cs="仿宋"/>
          <w:b/>
          <w:color w:val="auto"/>
          <w:sz w:val="24"/>
          <w:u w:val="single"/>
        </w:rPr>
        <w:t>供应商存在串通投标情形的。</w:t>
      </w:r>
    </w:p>
    <w:p>
      <w:pPr>
        <w:adjustRightInd w:val="0"/>
        <w:spacing w:line="360" w:lineRule="auto"/>
        <w:ind w:firstLine="482" w:firstLineChars="200"/>
        <w:rPr>
          <w:rFonts w:ascii="仿宋" w:hAnsi="仿宋" w:eastAsia="仿宋" w:cs="仿宋"/>
          <w:b/>
          <w:color w:val="auto"/>
          <w:sz w:val="24"/>
          <w:u w:val="single"/>
        </w:rPr>
      </w:pPr>
      <w:r>
        <w:rPr>
          <w:rFonts w:hint="eastAsia" w:ascii="仿宋" w:hAnsi="仿宋" w:eastAsia="仿宋" w:cs="仿宋"/>
          <w:b/>
          <w:color w:val="auto"/>
          <w:sz w:val="24"/>
        </w:rPr>
        <w:t>（13）</w:t>
      </w:r>
      <w:r>
        <w:rPr>
          <w:rFonts w:hint="eastAsia" w:ascii="仿宋" w:hAnsi="仿宋" w:eastAsia="仿宋" w:cs="仿宋"/>
          <w:b/>
          <w:color w:val="auto"/>
          <w:sz w:val="24"/>
          <w:u w:val="single"/>
        </w:rPr>
        <w:t>不符合法律、法规和磋商文件规定的其它实质性条款（须经磋商小组半数以上同意）。</w:t>
      </w:r>
    </w:p>
    <w:p>
      <w:pPr>
        <w:pStyle w:val="4"/>
        <w:keepNext w:val="0"/>
        <w:keepLines w:val="0"/>
        <w:spacing w:before="0" w:after="0"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26、磋商响应文件的澄清</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26.1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26.2磋商小组要求供应商澄清、说明或者更正响应文件应当以书面形式作出。供应商的澄清、说明或者更正应当由法定代表人（负责人）或其授权委托代理人签字或者加盖公章。由授权委托代理人签字的，应当附法定代表人（负责人）授权书。供应商为自然人的，应当由本人签字并附身份证明。</w:t>
      </w:r>
    </w:p>
    <w:p>
      <w:pPr>
        <w:pStyle w:val="4"/>
        <w:keepNext w:val="0"/>
        <w:keepLines w:val="0"/>
        <w:spacing w:before="0" w:after="0"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27、磋商内容</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27.1磋商小组与符合条件的供应商就磋商文件中的技术、服务要求及合同草案条款等进行磋商。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27.2在磋商过程中，磋商小组可以根据磋商文件和磋商情况实质性变动采购需求中的技术、服务要求以及合同草案条款，但不得变动磋商文件中的其他内容。实质性变动的内容，须经采购人代表书面确认后进行。</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27.3根据磋商文件和磋商情况作出的实质性变动是磋商文件的有效组成部分，磋商小组将及时以书面形式同时通知所有参加磋商的供应商。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27.4供应商应当按照磋商文件的变动情况和磋商小组的要求重新提交响应文件，并由其法定代表人（负责人）或授权委托代理人签字或者加盖公章。由授权委托代理人签字的，应当附法人授权委托书。</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27.5已提交响应文件的供应商，由于磋商小组实质性变动采购需求中的技术、服务要求以及合同草案条款，在提交最后报价之前，可以根据磋商情况退出磋商。若采购需求未发生实质性变动，供应商不得退出磋商。</w:t>
      </w:r>
    </w:p>
    <w:p>
      <w:pPr>
        <w:pStyle w:val="4"/>
        <w:keepNext w:val="0"/>
        <w:keepLines w:val="0"/>
        <w:spacing w:before="0" w:after="0" w:line="360" w:lineRule="auto"/>
        <w:jc w:val="left"/>
        <w:rPr>
          <w:rFonts w:ascii="仿宋" w:hAnsi="仿宋" w:eastAsia="仿宋" w:cs="仿宋"/>
          <w:color w:val="auto"/>
          <w:sz w:val="24"/>
          <w:szCs w:val="24"/>
        </w:rPr>
      </w:pPr>
      <w:bookmarkStart w:id="109" w:name="_Toc105940921"/>
      <w:bookmarkStart w:id="110" w:name="_Toc105940839"/>
      <w:r>
        <w:rPr>
          <w:rFonts w:hint="eastAsia" w:ascii="仿宋" w:hAnsi="仿宋" w:eastAsia="仿宋" w:cs="仿宋"/>
          <w:color w:val="auto"/>
          <w:sz w:val="24"/>
          <w:szCs w:val="24"/>
        </w:rPr>
        <w:t>28、最后报价的提交</w:t>
      </w:r>
      <w:bookmarkEnd w:id="109"/>
      <w:bookmarkEnd w:id="110"/>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28.1磋商文件能够详细列明采购标的的技术、服务要求的，磋商结束后，磋商小组应当要求所有实质性响应的供应商在规定时间内提交最后总报价，提交最后报价的供应商不得少于3家。</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28.2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提交最后总报价。</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28.3成交供应商与采购人签订合同时，必须提交与合同价（最后总报价）一致的明细报价。</w:t>
      </w:r>
    </w:p>
    <w:p>
      <w:pPr>
        <w:spacing w:line="360" w:lineRule="auto"/>
        <w:ind w:firstLine="482" w:firstLineChars="200"/>
        <w:rPr>
          <w:rFonts w:ascii="仿宋" w:hAnsi="仿宋" w:eastAsia="仿宋" w:cs="仿宋"/>
          <w:color w:val="auto"/>
          <w:sz w:val="24"/>
        </w:rPr>
      </w:pPr>
      <w:r>
        <w:rPr>
          <w:rFonts w:hint="eastAsia" w:ascii="仿宋" w:hAnsi="仿宋" w:eastAsia="仿宋" w:cs="仿宋"/>
          <w:b/>
          <w:bCs/>
          <w:color w:val="auto"/>
          <w:sz w:val="24"/>
        </w:rPr>
        <w:t>本项目符合第一种情况。</w:t>
      </w:r>
    </w:p>
    <w:p>
      <w:pPr>
        <w:spacing w:line="360" w:lineRule="auto"/>
        <w:ind w:firstLine="482" w:firstLineChars="200"/>
        <w:rPr>
          <w:rFonts w:ascii="仿宋" w:hAnsi="仿宋" w:eastAsia="仿宋" w:cs="仿宋"/>
          <w:color w:val="auto"/>
          <w:sz w:val="24"/>
        </w:rPr>
      </w:pPr>
      <w:bookmarkStart w:id="111" w:name="_Toc105940922"/>
      <w:bookmarkStart w:id="112" w:name="_Toc105940840"/>
      <w:r>
        <w:rPr>
          <w:rFonts w:hint="eastAsia" w:ascii="仿宋" w:hAnsi="仿宋" w:eastAsia="仿宋" w:cs="仿宋"/>
          <w:b/>
          <w:bCs/>
          <w:color w:val="auto"/>
          <w:sz w:val="24"/>
        </w:rPr>
        <w:t>磋商小组认为供应商的最后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磋商处理</w:t>
      </w:r>
      <w:r>
        <w:rPr>
          <w:rFonts w:hint="eastAsia" w:ascii="仿宋" w:hAnsi="仿宋" w:eastAsia="仿宋" w:cs="仿宋"/>
          <w:color w:val="auto"/>
          <w:sz w:val="24"/>
        </w:rPr>
        <w:t>。</w:t>
      </w:r>
      <w:bookmarkEnd w:id="111"/>
      <w:bookmarkEnd w:id="112"/>
      <w:bookmarkStart w:id="113" w:name="_Toc20732998"/>
      <w:bookmarkStart w:id="114" w:name="_Toc98669719"/>
      <w:bookmarkStart w:id="115" w:name="_Toc92168030"/>
      <w:bookmarkStart w:id="116" w:name="_Toc100386064"/>
      <w:bookmarkStart w:id="117" w:name="_Toc98669361"/>
    </w:p>
    <w:p>
      <w:pPr>
        <w:pStyle w:val="4"/>
        <w:keepNext w:val="0"/>
        <w:keepLines w:val="0"/>
        <w:spacing w:before="0" w:after="0"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29、磋商响应文件的评价和比较</w:t>
      </w:r>
      <w:bookmarkEnd w:id="113"/>
      <w:bookmarkEnd w:id="114"/>
      <w:bookmarkEnd w:id="115"/>
      <w:bookmarkEnd w:id="116"/>
      <w:bookmarkEnd w:id="117"/>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29.1本项目评标采用</w:t>
      </w:r>
      <w:r>
        <w:rPr>
          <w:rFonts w:hint="eastAsia" w:ascii="仿宋" w:hAnsi="仿宋" w:eastAsia="仿宋" w:cs="仿宋"/>
          <w:b/>
          <w:bCs/>
          <w:color w:val="auto"/>
          <w:sz w:val="24"/>
          <w:u w:val="single"/>
        </w:rPr>
        <w:t>综合评分法</w:t>
      </w:r>
      <w:r>
        <w:rPr>
          <w:rFonts w:hint="eastAsia" w:ascii="仿宋" w:hAnsi="仿宋" w:eastAsia="仿宋" w:cs="仿宋"/>
          <w:bCs/>
          <w:color w:val="auto"/>
          <w:sz w:val="24"/>
        </w:rPr>
        <w:t>。即磋商响应文件满足磋商文件全部实质性要求且按照评审因素的量化指标评审的总得分最高的供应商作为中标候选人的评标方法。</w:t>
      </w:r>
      <w:bookmarkEnd w:id="5"/>
      <w:bookmarkEnd w:id="6"/>
      <w:bookmarkEnd w:id="7"/>
      <w:bookmarkEnd w:id="8"/>
      <w:bookmarkEnd w:id="9"/>
      <w:bookmarkStart w:id="118" w:name="_Toc20821546"/>
      <w:bookmarkStart w:id="119" w:name="_Toc98669730"/>
      <w:bookmarkStart w:id="120" w:name="_Toc76955302"/>
      <w:bookmarkStart w:id="121" w:name="_Toc100386076"/>
      <w:bookmarkStart w:id="122" w:name="_Toc98669372"/>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29.2综合评分标准</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0"/>
        <w:gridCol w:w="1322"/>
        <w:gridCol w:w="5904"/>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306" w:type="pct"/>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sz w:val="24"/>
              </w:rPr>
              <w:t>序号</w:t>
            </w:r>
          </w:p>
        </w:tc>
        <w:tc>
          <w:tcPr>
            <w:tcW w:w="793" w:type="pct"/>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sz w:val="24"/>
              </w:rPr>
              <w:t>评审因素</w:t>
            </w:r>
          </w:p>
        </w:tc>
        <w:tc>
          <w:tcPr>
            <w:tcW w:w="3539" w:type="pct"/>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sz w:val="24"/>
              </w:rPr>
              <w:t>评分标准说明</w:t>
            </w:r>
          </w:p>
        </w:tc>
        <w:tc>
          <w:tcPr>
            <w:tcW w:w="361" w:type="pct"/>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306" w:type="pct"/>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kern w:val="0"/>
                <w:sz w:val="24"/>
                <w:lang w:bidi="ar"/>
              </w:rPr>
              <w:t>一</w:t>
            </w:r>
          </w:p>
        </w:tc>
        <w:tc>
          <w:tcPr>
            <w:tcW w:w="4332" w:type="pct"/>
            <w:gridSpan w:val="2"/>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sz w:val="24"/>
              </w:rPr>
              <w:t>价格评价</w:t>
            </w:r>
          </w:p>
        </w:tc>
        <w:tc>
          <w:tcPr>
            <w:tcW w:w="361" w:type="pct"/>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7" w:hRule="atLeast"/>
          <w:jc w:val="center"/>
        </w:trPr>
        <w:tc>
          <w:tcPr>
            <w:tcW w:w="306" w:type="pct"/>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sz w:val="24"/>
              </w:rPr>
              <w:t>1</w:t>
            </w:r>
          </w:p>
        </w:tc>
        <w:tc>
          <w:tcPr>
            <w:tcW w:w="793" w:type="pct"/>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sz w:val="24"/>
              </w:rPr>
              <w:t>价格评价</w:t>
            </w:r>
          </w:p>
        </w:tc>
        <w:tc>
          <w:tcPr>
            <w:tcW w:w="3539" w:type="pct"/>
            <w:tcMar>
              <w:top w:w="15" w:type="dxa"/>
              <w:left w:w="15" w:type="dxa"/>
              <w:bottom w:w="0" w:type="dxa"/>
              <w:right w:w="15" w:type="dxa"/>
            </w:tcMar>
            <w:vAlign w:val="center"/>
          </w:tcPr>
          <w:p>
            <w:pPr>
              <w:widowControl/>
              <w:spacing w:line="360" w:lineRule="auto"/>
              <w:ind w:firstLine="480" w:firstLineChars="200"/>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综合评分法中的价格分采用低价优先法计算，即满足招标文件要求且价格最低的投标报价为评审基准价，其价格分为满分15分。其他供应商的价格分统一按照下列公式计算：报价得分 = (评审基准价／报价)×15。</w:t>
            </w:r>
          </w:p>
        </w:tc>
        <w:tc>
          <w:tcPr>
            <w:tcW w:w="361" w:type="pct"/>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306" w:type="pct"/>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sz w:val="24"/>
              </w:rPr>
              <w:t>二</w:t>
            </w:r>
          </w:p>
        </w:tc>
        <w:tc>
          <w:tcPr>
            <w:tcW w:w="4332" w:type="pct"/>
            <w:gridSpan w:val="2"/>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sz w:val="24"/>
              </w:rPr>
              <w:t>综合实力</w:t>
            </w:r>
          </w:p>
        </w:tc>
        <w:tc>
          <w:tcPr>
            <w:tcW w:w="361" w:type="pct"/>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2" w:hRule="atLeast"/>
          <w:jc w:val="center"/>
        </w:trPr>
        <w:tc>
          <w:tcPr>
            <w:tcW w:w="306" w:type="pct"/>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1</w:t>
            </w:r>
          </w:p>
        </w:tc>
        <w:tc>
          <w:tcPr>
            <w:tcW w:w="793" w:type="pct"/>
            <w:tcMar>
              <w:top w:w="15" w:type="dxa"/>
              <w:left w:w="15" w:type="dxa"/>
              <w:bottom w:w="0" w:type="dxa"/>
              <w:right w:w="15" w:type="dxa"/>
            </w:tcMar>
            <w:vAlign w:val="center"/>
          </w:tcPr>
          <w:p>
            <w:pPr>
              <w:spacing w:line="26" w:lineRule="atLeast"/>
              <w:jc w:val="center"/>
              <w:rPr>
                <w:rFonts w:ascii="仿宋" w:hAnsi="仿宋" w:eastAsia="仿宋" w:cs="仿宋"/>
                <w:bCs/>
                <w:color w:val="auto"/>
                <w:sz w:val="24"/>
              </w:rPr>
            </w:pPr>
            <w:r>
              <w:rPr>
                <w:rFonts w:hint="eastAsia" w:ascii="仿宋" w:hAnsi="仿宋" w:eastAsia="仿宋" w:cs="仿宋"/>
                <w:bCs/>
                <w:color w:val="auto"/>
                <w:sz w:val="24"/>
              </w:rPr>
              <w:t>偿付能力</w:t>
            </w:r>
          </w:p>
        </w:tc>
        <w:tc>
          <w:tcPr>
            <w:tcW w:w="3539" w:type="pct"/>
            <w:tcMar>
              <w:top w:w="15" w:type="dxa"/>
              <w:left w:w="15" w:type="dxa"/>
              <w:bottom w:w="0" w:type="dxa"/>
              <w:right w:w="15" w:type="dxa"/>
            </w:tcMar>
            <w:vAlign w:val="center"/>
          </w:tcPr>
          <w:p>
            <w:pPr>
              <w:spacing w:line="360" w:lineRule="auto"/>
              <w:ind w:firstLine="482" w:firstLineChars="200"/>
              <w:rPr>
                <w:rFonts w:ascii="仿宋" w:hAnsi="仿宋" w:eastAsia="仿宋" w:cs="仿宋"/>
                <w:color w:val="auto"/>
                <w:sz w:val="24"/>
              </w:rPr>
            </w:pPr>
            <w:bookmarkStart w:id="123" w:name="OLE_LINK1"/>
            <w:r>
              <w:rPr>
                <w:rFonts w:hint="eastAsia" w:ascii="仿宋" w:hAnsi="仿宋" w:eastAsia="仿宋" w:cs="仿宋"/>
                <w:b/>
                <w:bCs/>
                <w:color w:val="auto"/>
                <w:sz w:val="24"/>
              </w:rPr>
              <w:t>供应商或其总公司2025年1季度</w:t>
            </w:r>
            <w:r>
              <w:rPr>
                <w:rFonts w:hint="eastAsia" w:ascii="仿宋" w:hAnsi="仿宋" w:eastAsia="仿宋" w:cs="仿宋"/>
                <w:color w:val="auto"/>
                <w:sz w:val="24"/>
              </w:rPr>
              <w:t>综合偿付能力充足率≥200%的得7分；150%≤综合偿付能力充足率＜200%的得4分；综合偿付能力充足率&lt;150%的得1分.</w:t>
            </w:r>
          </w:p>
          <w:p>
            <w:pPr>
              <w:spacing w:line="360" w:lineRule="auto"/>
              <w:jc w:val="left"/>
              <w:rPr>
                <w:rFonts w:ascii="仿宋" w:hAnsi="仿宋" w:eastAsia="仿宋" w:cs="仿宋"/>
                <w:b/>
                <w:color w:val="auto"/>
                <w:sz w:val="24"/>
                <w:u w:val="single"/>
              </w:rPr>
            </w:pPr>
            <w:r>
              <w:rPr>
                <w:rFonts w:hint="eastAsia" w:ascii="仿宋" w:hAnsi="仿宋" w:eastAsia="仿宋" w:cs="仿宋"/>
                <w:b/>
                <w:color w:val="auto"/>
                <w:sz w:val="24"/>
                <w:u w:val="single"/>
              </w:rPr>
              <w:t>注：提供供应商或其总公司的偿付能力报表或保监会下发的偿付能力情况材料，否则不得分。</w:t>
            </w:r>
            <w:bookmarkEnd w:id="123"/>
          </w:p>
        </w:tc>
        <w:tc>
          <w:tcPr>
            <w:tcW w:w="361" w:type="pct"/>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atLeast"/>
          <w:jc w:val="center"/>
        </w:trPr>
        <w:tc>
          <w:tcPr>
            <w:tcW w:w="306" w:type="pct"/>
            <w:tcBorders>
              <w:bottom w:val="single" w:color="auto" w:sz="2" w:space="0"/>
            </w:tcBorders>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2</w:t>
            </w:r>
          </w:p>
        </w:tc>
        <w:tc>
          <w:tcPr>
            <w:tcW w:w="793" w:type="pct"/>
            <w:tcBorders>
              <w:bottom w:val="single" w:color="auto" w:sz="2" w:space="0"/>
            </w:tcBorders>
            <w:tcMar>
              <w:top w:w="15" w:type="dxa"/>
              <w:left w:w="15" w:type="dxa"/>
              <w:bottom w:w="0" w:type="dxa"/>
              <w:right w:w="15" w:type="dxa"/>
            </w:tcMar>
            <w:vAlign w:val="center"/>
          </w:tcPr>
          <w:p>
            <w:pPr>
              <w:spacing w:line="26" w:lineRule="atLeast"/>
              <w:jc w:val="center"/>
              <w:rPr>
                <w:rFonts w:ascii="仿宋" w:hAnsi="仿宋" w:eastAsia="仿宋" w:cs="仿宋"/>
                <w:bCs/>
                <w:color w:val="auto"/>
                <w:sz w:val="24"/>
              </w:rPr>
            </w:pPr>
            <w:r>
              <w:rPr>
                <w:rFonts w:hint="eastAsia" w:ascii="仿宋" w:hAnsi="仿宋" w:eastAsia="仿宋" w:cs="仿宋"/>
                <w:bCs/>
                <w:color w:val="auto"/>
                <w:sz w:val="24"/>
              </w:rPr>
              <w:t>服务评级</w:t>
            </w:r>
          </w:p>
        </w:tc>
        <w:tc>
          <w:tcPr>
            <w:tcW w:w="3539" w:type="pct"/>
            <w:tcBorders>
              <w:bottom w:val="single" w:color="auto" w:sz="2" w:space="0"/>
            </w:tcBorders>
            <w:tcMar>
              <w:top w:w="15" w:type="dxa"/>
              <w:left w:w="15" w:type="dxa"/>
              <w:bottom w:w="0" w:type="dxa"/>
              <w:right w:w="15" w:type="dxa"/>
            </w:tcMar>
            <w:vAlign w:val="center"/>
          </w:tcPr>
          <w:p>
            <w:pPr>
              <w:spacing w:line="360" w:lineRule="auto"/>
              <w:ind w:firstLine="482" w:firstLineChars="200"/>
              <w:rPr>
                <w:rFonts w:ascii="仿宋" w:hAnsi="仿宋" w:eastAsia="仿宋" w:cs="仿宋"/>
                <w:color w:val="auto"/>
                <w:sz w:val="24"/>
              </w:rPr>
            </w:pPr>
            <w:r>
              <w:rPr>
                <w:rFonts w:hint="eastAsia" w:ascii="仿宋" w:hAnsi="仿宋" w:eastAsia="仿宋" w:cs="仿宋"/>
                <w:b/>
                <w:bCs/>
                <w:color w:val="auto"/>
                <w:sz w:val="24"/>
              </w:rPr>
              <w:t>供应商或其总公司2022年以来</w:t>
            </w:r>
            <w:r>
              <w:rPr>
                <w:rFonts w:hint="eastAsia" w:ascii="仿宋" w:hAnsi="仿宋" w:eastAsia="仿宋" w:cs="仿宋"/>
                <w:color w:val="auto"/>
                <w:sz w:val="24"/>
              </w:rPr>
              <w:t>中国保监会公布的保险公司保险服务评价结果，获AA级（含）及以上得</w:t>
            </w:r>
            <w:r>
              <w:rPr>
                <w:rFonts w:hint="eastAsia" w:ascii="仿宋" w:hAnsi="仿宋" w:eastAsia="仿宋" w:cs="仿宋"/>
                <w:color w:val="auto"/>
                <w:sz w:val="24"/>
                <w:lang w:val="en-US" w:eastAsia="zh-CN"/>
              </w:rPr>
              <w:t>3</w:t>
            </w:r>
            <w:r>
              <w:rPr>
                <w:rFonts w:hint="eastAsia" w:ascii="仿宋" w:hAnsi="仿宋" w:eastAsia="仿宋" w:cs="仿宋"/>
                <w:color w:val="auto"/>
                <w:sz w:val="24"/>
              </w:rPr>
              <w:t>分，获A级（含）得</w:t>
            </w:r>
            <w:r>
              <w:rPr>
                <w:rFonts w:hint="eastAsia" w:ascii="仿宋" w:hAnsi="仿宋" w:eastAsia="仿宋" w:cs="仿宋"/>
                <w:color w:val="auto"/>
                <w:sz w:val="24"/>
                <w:lang w:val="en-US" w:eastAsia="zh-CN"/>
              </w:rPr>
              <w:t>2</w:t>
            </w:r>
            <w:r>
              <w:rPr>
                <w:rFonts w:hint="eastAsia" w:ascii="仿宋" w:hAnsi="仿宋" w:eastAsia="仿宋" w:cs="仿宋"/>
                <w:color w:val="auto"/>
                <w:sz w:val="24"/>
              </w:rPr>
              <w:t>分,获BBB级(含)得1分，其余不得分。</w:t>
            </w:r>
          </w:p>
          <w:p>
            <w:pPr>
              <w:spacing w:line="360" w:lineRule="auto"/>
              <w:rPr>
                <w:rFonts w:ascii="仿宋" w:hAnsi="仿宋" w:eastAsia="仿宋" w:cs="仿宋"/>
                <w:b/>
                <w:color w:val="auto"/>
                <w:sz w:val="24"/>
                <w:u w:val="single"/>
              </w:rPr>
            </w:pPr>
            <w:r>
              <w:rPr>
                <w:rFonts w:hint="eastAsia" w:ascii="仿宋" w:hAnsi="仿宋" w:eastAsia="仿宋" w:cs="仿宋"/>
                <w:b/>
                <w:color w:val="auto"/>
                <w:sz w:val="24"/>
                <w:u w:val="single"/>
              </w:rPr>
              <w:t>注：以中国银保信网公布为准，提供网站截图证明。</w:t>
            </w:r>
          </w:p>
        </w:tc>
        <w:tc>
          <w:tcPr>
            <w:tcW w:w="361" w:type="pct"/>
            <w:tcBorders>
              <w:bottom w:val="single" w:color="auto" w:sz="2" w:space="0"/>
            </w:tcBorders>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306" w:type="pct"/>
            <w:tcBorders>
              <w:bottom w:val="single" w:color="auto" w:sz="2" w:space="0"/>
            </w:tcBorders>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3</w:t>
            </w:r>
          </w:p>
        </w:tc>
        <w:tc>
          <w:tcPr>
            <w:tcW w:w="793" w:type="pct"/>
            <w:tcBorders>
              <w:bottom w:val="single" w:color="auto" w:sz="2" w:space="0"/>
            </w:tcBorders>
            <w:tcMar>
              <w:top w:w="15" w:type="dxa"/>
              <w:left w:w="15" w:type="dxa"/>
              <w:bottom w:w="0" w:type="dxa"/>
              <w:right w:w="15" w:type="dxa"/>
            </w:tcMar>
            <w:vAlign w:val="center"/>
          </w:tcPr>
          <w:p>
            <w:pPr>
              <w:spacing w:line="26" w:lineRule="atLeast"/>
              <w:jc w:val="center"/>
              <w:rPr>
                <w:rFonts w:ascii="仿宋" w:hAnsi="仿宋" w:eastAsia="仿宋" w:cs="仿宋"/>
                <w:bCs/>
                <w:color w:val="auto"/>
                <w:sz w:val="24"/>
              </w:rPr>
            </w:pPr>
            <w:r>
              <w:rPr>
                <w:rFonts w:hint="eastAsia" w:ascii="仿宋" w:hAnsi="仿宋" w:eastAsia="仿宋" w:cs="仿宋"/>
                <w:bCs/>
                <w:color w:val="auto"/>
                <w:sz w:val="24"/>
              </w:rPr>
              <w:t>业绩</w:t>
            </w:r>
          </w:p>
        </w:tc>
        <w:tc>
          <w:tcPr>
            <w:tcW w:w="3539" w:type="pct"/>
            <w:tcBorders>
              <w:bottom w:val="single" w:color="auto" w:sz="2" w:space="0"/>
            </w:tcBorders>
            <w:tcMar>
              <w:top w:w="15" w:type="dxa"/>
              <w:left w:w="15" w:type="dxa"/>
              <w:bottom w:w="0" w:type="dxa"/>
              <w:right w:w="15" w:type="dxa"/>
            </w:tcMar>
            <w:vAlign w:val="center"/>
          </w:tcPr>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年</w:t>
            </w:r>
            <w:r>
              <w:rPr>
                <w:rFonts w:hint="eastAsia" w:ascii="仿宋" w:hAnsi="仿宋" w:eastAsia="仿宋" w:cs="仿宋"/>
                <w:color w:val="auto"/>
                <w:sz w:val="24"/>
              </w:rPr>
              <w:t>以来承保与</w:t>
            </w:r>
            <w:r>
              <w:rPr>
                <w:rFonts w:hint="eastAsia" w:ascii="仿宋" w:hAnsi="仿宋" w:eastAsia="仿宋" w:cs="仿宋"/>
                <w:b/>
                <w:bCs/>
                <w:color w:val="auto"/>
                <w:sz w:val="24"/>
              </w:rPr>
              <w:t>本项目性质</w:t>
            </w:r>
            <w:r>
              <w:rPr>
                <w:rFonts w:hint="eastAsia" w:ascii="仿宋" w:hAnsi="仿宋" w:eastAsia="仿宋" w:cs="仿宋"/>
                <w:color w:val="auto"/>
                <w:sz w:val="24"/>
              </w:rPr>
              <w:t>类似团体重大疾病保险成功经验，每提供一份合同或保单得3分，最低分0分，最高得15分。</w:t>
            </w:r>
          </w:p>
          <w:p>
            <w:pPr>
              <w:pStyle w:val="73"/>
              <w:ind w:firstLine="0" w:firstLineChars="0"/>
              <w:rPr>
                <w:rFonts w:ascii="仿宋" w:hAnsi="仿宋" w:eastAsia="仿宋" w:cs="仿宋"/>
                <w:color w:val="auto"/>
                <w:sz w:val="24"/>
                <w:szCs w:val="24"/>
              </w:rPr>
            </w:pPr>
            <w:r>
              <w:rPr>
                <w:rFonts w:hint="eastAsia" w:ascii="仿宋" w:hAnsi="仿宋" w:eastAsia="仿宋" w:cs="仿宋"/>
                <w:color w:val="auto"/>
                <w:sz w:val="24"/>
                <w:szCs w:val="24"/>
                <w:u w:val="single"/>
              </w:rPr>
              <w:t>注：须提供合同复印件并加盖公章，否则不得分</w:t>
            </w:r>
            <w:r>
              <w:rPr>
                <w:rFonts w:hint="eastAsia" w:ascii="仿宋" w:hAnsi="仿宋" w:eastAsia="仿宋" w:cs="仿宋"/>
                <w:color w:val="auto"/>
                <w:sz w:val="24"/>
                <w:szCs w:val="24"/>
              </w:rPr>
              <w:t>。</w:t>
            </w:r>
          </w:p>
        </w:tc>
        <w:tc>
          <w:tcPr>
            <w:tcW w:w="361" w:type="pct"/>
            <w:tcBorders>
              <w:bottom w:val="single" w:color="auto" w:sz="2" w:space="0"/>
            </w:tcBorders>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306" w:type="pct"/>
            <w:tcBorders>
              <w:bottom w:val="single" w:color="auto" w:sz="2" w:space="0"/>
            </w:tcBorders>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三</w:t>
            </w:r>
          </w:p>
        </w:tc>
        <w:tc>
          <w:tcPr>
            <w:tcW w:w="4332" w:type="pct"/>
            <w:gridSpan w:val="2"/>
            <w:tcBorders>
              <w:bottom w:val="single" w:color="auto" w:sz="2" w:space="0"/>
            </w:tcBorders>
            <w:tcMar>
              <w:top w:w="15" w:type="dxa"/>
              <w:left w:w="15" w:type="dxa"/>
              <w:bottom w:w="0" w:type="dxa"/>
              <w:right w:w="15" w:type="dxa"/>
            </w:tcMar>
            <w:vAlign w:val="center"/>
          </w:tcPr>
          <w:p>
            <w:pPr>
              <w:pStyle w:val="73"/>
              <w:spacing w:line="240" w:lineRule="auto"/>
              <w:ind w:firstLine="0" w:firstLineChars="0"/>
              <w:jc w:val="center"/>
              <w:rPr>
                <w:rFonts w:ascii="仿宋" w:hAnsi="仿宋" w:eastAsia="仿宋" w:cs="仿宋"/>
                <w:color w:val="auto"/>
                <w:sz w:val="24"/>
                <w:szCs w:val="24"/>
                <w:u w:val="single"/>
              </w:rPr>
            </w:pPr>
            <w:r>
              <w:rPr>
                <w:rFonts w:hint="eastAsia" w:ascii="仿宋" w:hAnsi="仿宋" w:eastAsia="仿宋" w:cs="仿宋"/>
                <w:color w:val="auto"/>
                <w:sz w:val="24"/>
                <w:szCs w:val="24"/>
              </w:rPr>
              <w:t>保险险种</w:t>
            </w:r>
          </w:p>
        </w:tc>
        <w:tc>
          <w:tcPr>
            <w:tcW w:w="361" w:type="pct"/>
            <w:tcBorders>
              <w:bottom w:val="single" w:color="auto" w:sz="2" w:space="0"/>
            </w:tcBorders>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306" w:type="pct"/>
            <w:tcBorders>
              <w:bottom w:val="single" w:color="auto" w:sz="2" w:space="0"/>
            </w:tcBorders>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1</w:t>
            </w:r>
          </w:p>
        </w:tc>
        <w:tc>
          <w:tcPr>
            <w:tcW w:w="793" w:type="pct"/>
            <w:tcBorders>
              <w:bottom w:val="single" w:color="auto" w:sz="2" w:space="0"/>
            </w:tcBorders>
            <w:tcMar>
              <w:top w:w="15" w:type="dxa"/>
              <w:left w:w="15" w:type="dxa"/>
              <w:bottom w:w="0" w:type="dxa"/>
              <w:right w:w="15" w:type="dxa"/>
            </w:tcMar>
            <w:vAlign w:val="center"/>
          </w:tcPr>
          <w:p>
            <w:pPr>
              <w:pStyle w:val="73"/>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b w:val="0"/>
                <w:bCs/>
                <w:color w:val="auto"/>
                <w:sz w:val="24"/>
                <w:szCs w:val="24"/>
              </w:rPr>
              <w:t>重大疾病保险种类</w:t>
            </w:r>
          </w:p>
        </w:tc>
        <w:tc>
          <w:tcPr>
            <w:tcW w:w="3539" w:type="pct"/>
            <w:tcBorders>
              <w:bottom w:val="single" w:color="auto" w:sz="2" w:space="0"/>
            </w:tcBorders>
            <w:tcMar>
              <w:top w:w="15" w:type="dxa"/>
              <w:left w:w="15" w:type="dxa"/>
              <w:bottom w:w="0" w:type="dxa"/>
              <w:right w:w="15" w:type="dxa"/>
            </w:tcMar>
            <w:vAlign w:val="center"/>
          </w:tcPr>
          <w:p>
            <w:pPr>
              <w:pStyle w:val="73"/>
              <w:ind w:firstLine="480"/>
              <w:jc w:val="left"/>
              <w:rPr>
                <w:rFonts w:ascii="仿宋" w:hAnsi="仿宋" w:eastAsia="仿宋" w:cs="仿宋"/>
                <w:color w:val="auto"/>
                <w:sz w:val="24"/>
                <w:szCs w:val="24"/>
              </w:rPr>
            </w:pPr>
            <w:r>
              <w:rPr>
                <w:rFonts w:hint="eastAsia" w:ascii="仿宋" w:hAnsi="仿宋" w:eastAsia="仿宋" w:cs="仿宋"/>
                <w:b w:val="0"/>
                <w:color w:val="auto"/>
                <w:sz w:val="24"/>
                <w:szCs w:val="24"/>
              </w:rPr>
              <w:t>根据供应商提供的重大疾病保险种类，重疾险≥40项的得6分，20项</w:t>
            </w:r>
            <w:r>
              <w:rPr>
                <w:rFonts w:hint="eastAsia" w:ascii="仿宋" w:hAnsi="仿宋" w:eastAsia="仿宋" w:cs="仿宋"/>
                <w:color w:val="auto"/>
                <w:sz w:val="24"/>
                <w:szCs w:val="24"/>
              </w:rPr>
              <w:t>≤</w:t>
            </w:r>
            <w:r>
              <w:rPr>
                <w:rFonts w:hint="eastAsia" w:ascii="仿宋" w:hAnsi="仿宋" w:eastAsia="仿宋" w:cs="仿宋"/>
                <w:b w:val="0"/>
                <w:color w:val="auto"/>
                <w:sz w:val="24"/>
                <w:szCs w:val="24"/>
              </w:rPr>
              <w:t>重疾险</w:t>
            </w:r>
            <w:r>
              <w:rPr>
                <w:rFonts w:hint="eastAsia" w:ascii="仿宋" w:hAnsi="仿宋" w:eastAsia="仿宋" w:cs="仿宋"/>
                <w:color w:val="auto"/>
                <w:sz w:val="24"/>
                <w:szCs w:val="24"/>
              </w:rPr>
              <w:t>≤39</w:t>
            </w:r>
            <w:r>
              <w:rPr>
                <w:rFonts w:hint="eastAsia" w:ascii="仿宋" w:hAnsi="仿宋" w:eastAsia="仿宋" w:cs="仿宋"/>
                <w:b w:val="0"/>
                <w:color w:val="auto"/>
                <w:sz w:val="24"/>
                <w:szCs w:val="24"/>
              </w:rPr>
              <w:t>项之间得4分，1项</w:t>
            </w:r>
            <w:r>
              <w:rPr>
                <w:rFonts w:hint="eastAsia" w:ascii="仿宋" w:hAnsi="仿宋" w:eastAsia="仿宋" w:cs="仿宋"/>
                <w:color w:val="auto"/>
                <w:sz w:val="24"/>
                <w:szCs w:val="24"/>
              </w:rPr>
              <w:t>≤</w:t>
            </w:r>
            <w:r>
              <w:rPr>
                <w:rFonts w:hint="eastAsia" w:ascii="仿宋" w:hAnsi="仿宋" w:eastAsia="仿宋" w:cs="仿宋"/>
                <w:b w:val="0"/>
                <w:color w:val="auto"/>
                <w:sz w:val="24"/>
                <w:szCs w:val="24"/>
              </w:rPr>
              <w:t>重疾险</w:t>
            </w:r>
            <w:r>
              <w:rPr>
                <w:rFonts w:hint="eastAsia" w:ascii="仿宋" w:hAnsi="仿宋" w:eastAsia="仿宋" w:cs="仿宋"/>
                <w:color w:val="auto"/>
                <w:sz w:val="24"/>
                <w:szCs w:val="24"/>
              </w:rPr>
              <w:t>≤19</w:t>
            </w:r>
            <w:r>
              <w:rPr>
                <w:rFonts w:hint="eastAsia" w:ascii="仿宋" w:hAnsi="仿宋" w:eastAsia="仿宋" w:cs="仿宋"/>
                <w:b w:val="0"/>
                <w:bCs/>
                <w:color w:val="auto"/>
                <w:sz w:val="24"/>
                <w:szCs w:val="24"/>
              </w:rPr>
              <w:t>项的得1分。</w:t>
            </w:r>
          </w:p>
        </w:tc>
        <w:tc>
          <w:tcPr>
            <w:tcW w:w="361" w:type="pct"/>
            <w:tcBorders>
              <w:bottom w:val="single" w:color="auto" w:sz="2" w:space="0"/>
            </w:tcBorders>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306" w:type="pct"/>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四</w:t>
            </w:r>
          </w:p>
        </w:tc>
        <w:tc>
          <w:tcPr>
            <w:tcW w:w="4335" w:type="pct"/>
            <w:gridSpan w:val="2"/>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 xml:space="preserve">     方案评价                        </w:t>
            </w:r>
          </w:p>
        </w:tc>
        <w:tc>
          <w:tcPr>
            <w:tcW w:w="358" w:type="pct"/>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atLeast"/>
          <w:jc w:val="center"/>
        </w:trPr>
        <w:tc>
          <w:tcPr>
            <w:tcW w:w="306" w:type="pct"/>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1</w:t>
            </w:r>
          </w:p>
        </w:tc>
        <w:tc>
          <w:tcPr>
            <w:tcW w:w="793" w:type="pct"/>
            <w:tcMar>
              <w:top w:w="15" w:type="dxa"/>
              <w:left w:w="15" w:type="dxa"/>
              <w:bottom w:w="0" w:type="dxa"/>
              <w:right w:w="15" w:type="dxa"/>
            </w:tcMar>
            <w:vAlign w:val="center"/>
          </w:tcPr>
          <w:p>
            <w:pPr>
              <w:widowControl/>
              <w:spacing w:line="300" w:lineRule="exact"/>
              <w:jc w:val="left"/>
              <w:rPr>
                <w:rFonts w:ascii="仿宋" w:hAnsi="仿宋" w:eastAsia="仿宋" w:cs="仿宋"/>
                <w:color w:val="auto"/>
                <w:sz w:val="24"/>
              </w:rPr>
            </w:pPr>
            <w:r>
              <w:rPr>
                <w:rFonts w:hint="eastAsia" w:ascii="仿宋" w:hAnsi="仿宋" w:eastAsia="仿宋" w:cs="仿宋"/>
                <w:color w:val="auto"/>
                <w:sz w:val="24"/>
              </w:rPr>
              <w:t>投保服务方案</w:t>
            </w:r>
          </w:p>
        </w:tc>
        <w:tc>
          <w:tcPr>
            <w:tcW w:w="3539" w:type="pct"/>
            <w:vAlign w:val="center"/>
          </w:tcPr>
          <w:p>
            <w:pPr>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供应商根据自身对项目的理解设计投保服务方案。方案应当包括投保工作组织实施方案，投保所需提供材料，投保后续服务。方案完整、全面、便捷，所需材料必要得7分；方案不够完整、全面、便捷得4分；方案不完整，手续、材料繁琐不必要得1分；未提供方案不得分。</w:t>
            </w:r>
          </w:p>
        </w:tc>
        <w:tc>
          <w:tcPr>
            <w:tcW w:w="361" w:type="pct"/>
            <w:tcMar>
              <w:top w:w="15" w:type="dxa"/>
              <w:left w:w="15" w:type="dxa"/>
              <w:bottom w:w="0" w:type="dxa"/>
              <w:right w:w="15" w:type="dxa"/>
            </w:tcMar>
            <w:vAlign w:val="center"/>
          </w:tcPr>
          <w:p>
            <w:pPr>
              <w:widowControl/>
              <w:spacing w:line="300" w:lineRule="exact"/>
              <w:jc w:val="center"/>
              <w:rPr>
                <w:rFonts w:ascii="仿宋" w:hAnsi="仿宋" w:eastAsia="仿宋" w:cs="仿宋"/>
                <w:bCs/>
                <w:color w:val="auto"/>
                <w:sz w:val="24"/>
              </w:rPr>
            </w:pPr>
            <w:r>
              <w:rPr>
                <w:rFonts w:hint="eastAsia" w:ascii="仿宋" w:hAnsi="仿宋" w:eastAsia="仿宋" w:cs="仿宋"/>
                <w:bCs/>
                <w:color w:val="auto"/>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9" w:hRule="atLeast"/>
          <w:jc w:val="center"/>
        </w:trPr>
        <w:tc>
          <w:tcPr>
            <w:tcW w:w="306" w:type="pct"/>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2</w:t>
            </w:r>
          </w:p>
        </w:tc>
        <w:tc>
          <w:tcPr>
            <w:tcW w:w="793" w:type="pct"/>
            <w:tcMar>
              <w:top w:w="15" w:type="dxa"/>
              <w:left w:w="15" w:type="dxa"/>
              <w:bottom w:w="0" w:type="dxa"/>
              <w:right w:w="15" w:type="dxa"/>
            </w:tcMar>
            <w:vAlign w:val="center"/>
          </w:tcPr>
          <w:p>
            <w:pPr>
              <w:spacing w:line="26" w:lineRule="atLeast"/>
              <w:jc w:val="left"/>
              <w:rPr>
                <w:rFonts w:ascii="仿宋" w:hAnsi="仿宋" w:eastAsia="仿宋" w:cs="仿宋"/>
                <w:color w:val="auto"/>
                <w:sz w:val="24"/>
              </w:rPr>
            </w:pPr>
            <w:r>
              <w:rPr>
                <w:rFonts w:hint="eastAsia" w:ascii="仿宋" w:hAnsi="仿宋" w:eastAsia="仿宋" w:cs="仿宋"/>
                <w:color w:val="auto"/>
                <w:sz w:val="24"/>
              </w:rPr>
              <w:t>对赔偿相关内容的详细阐述</w:t>
            </w:r>
          </w:p>
        </w:tc>
        <w:tc>
          <w:tcPr>
            <w:tcW w:w="3539" w:type="pct"/>
            <w:vAlign w:val="center"/>
          </w:tcPr>
          <w:p>
            <w:pPr>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供应商根据竞争性招标文件具体内容，对本项目保障的赔偿相关内容进行详细阐述。供应商对赔偿相关内容的阐述应当包括适用法律条例、责任认定依据、赔偿项目、赔偿标准，所阐述内容准确、项目清晰、整体完整度高得7分，阐述准确度、清晰度、完整度一般4分，阐述内容错误、混乱、不完整得1分，未进行详细阐述得0分。</w:t>
            </w:r>
          </w:p>
        </w:tc>
        <w:tc>
          <w:tcPr>
            <w:tcW w:w="361" w:type="pct"/>
            <w:tcMar>
              <w:top w:w="15" w:type="dxa"/>
              <w:left w:w="15" w:type="dxa"/>
              <w:bottom w:w="0" w:type="dxa"/>
              <w:right w:w="15" w:type="dxa"/>
            </w:tcMar>
            <w:vAlign w:val="center"/>
          </w:tcPr>
          <w:p>
            <w:pPr>
              <w:spacing w:line="26" w:lineRule="atLeast"/>
              <w:jc w:val="center"/>
              <w:rPr>
                <w:rFonts w:ascii="仿宋" w:hAnsi="仿宋" w:eastAsia="仿宋" w:cs="仿宋"/>
                <w:bCs/>
                <w:color w:val="auto"/>
                <w:sz w:val="24"/>
              </w:rPr>
            </w:pPr>
            <w:r>
              <w:rPr>
                <w:rFonts w:hint="eastAsia" w:ascii="仿宋" w:hAnsi="仿宋" w:eastAsia="仿宋" w:cs="仿宋"/>
                <w:bCs/>
                <w:color w:val="auto"/>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9" w:hRule="atLeast"/>
          <w:jc w:val="center"/>
        </w:trPr>
        <w:tc>
          <w:tcPr>
            <w:tcW w:w="306" w:type="pct"/>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3</w:t>
            </w:r>
          </w:p>
        </w:tc>
        <w:tc>
          <w:tcPr>
            <w:tcW w:w="793" w:type="pct"/>
            <w:tcMar>
              <w:top w:w="15" w:type="dxa"/>
              <w:left w:w="15" w:type="dxa"/>
              <w:bottom w:w="0" w:type="dxa"/>
              <w:right w:w="15" w:type="dxa"/>
            </w:tcMar>
            <w:vAlign w:val="center"/>
          </w:tcPr>
          <w:p>
            <w:pPr>
              <w:widowControl/>
              <w:spacing w:line="300" w:lineRule="exact"/>
              <w:jc w:val="left"/>
              <w:rPr>
                <w:rFonts w:ascii="仿宋" w:hAnsi="仿宋" w:eastAsia="仿宋" w:cs="仿宋"/>
                <w:color w:val="auto"/>
                <w:sz w:val="24"/>
              </w:rPr>
            </w:pPr>
            <w:r>
              <w:rPr>
                <w:rFonts w:hint="eastAsia" w:ascii="仿宋" w:hAnsi="仿宋" w:eastAsia="仿宋" w:cs="仿宋"/>
                <w:color w:val="auto"/>
                <w:sz w:val="24"/>
              </w:rPr>
              <w:t>理赔服务方案</w:t>
            </w:r>
          </w:p>
        </w:tc>
        <w:tc>
          <w:tcPr>
            <w:tcW w:w="3539" w:type="pct"/>
            <w:vAlign w:val="center"/>
          </w:tcPr>
          <w:p>
            <w:pPr>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供应商根据自身对项目的理解设计理赔服务方案，方案应当包括理赔服务流程、理赔所需提供材料、理赔服务内容，方案完整、全面、便捷，所需材料必要，充分站在医疗机构角度设计方案得7分；方案不够完整、全面、便捷得4分；方案不完整，手续、材料繁琐得1分。未提供方案不得分。</w:t>
            </w:r>
          </w:p>
        </w:tc>
        <w:tc>
          <w:tcPr>
            <w:tcW w:w="361" w:type="pct"/>
            <w:tcMar>
              <w:top w:w="15" w:type="dxa"/>
              <w:left w:w="15" w:type="dxa"/>
              <w:bottom w:w="0" w:type="dxa"/>
              <w:right w:w="15" w:type="dxa"/>
            </w:tcMar>
            <w:vAlign w:val="center"/>
          </w:tcPr>
          <w:p>
            <w:pPr>
              <w:spacing w:line="26" w:lineRule="atLeast"/>
              <w:jc w:val="center"/>
              <w:rPr>
                <w:rFonts w:ascii="仿宋" w:hAnsi="仿宋" w:eastAsia="仿宋" w:cs="仿宋"/>
                <w:bCs/>
                <w:color w:val="auto"/>
                <w:sz w:val="24"/>
              </w:rPr>
            </w:pPr>
            <w:r>
              <w:rPr>
                <w:rFonts w:hint="eastAsia" w:ascii="仿宋" w:hAnsi="仿宋" w:eastAsia="仿宋" w:cs="仿宋"/>
                <w:bCs/>
                <w:color w:val="auto"/>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9" w:hRule="atLeast"/>
          <w:jc w:val="center"/>
        </w:trPr>
        <w:tc>
          <w:tcPr>
            <w:tcW w:w="306" w:type="pct"/>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4</w:t>
            </w:r>
          </w:p>
        </w:tc>
        <w:tc>
          <w:tcPr>
            <w:tcW w:w="793" w:type="pct"/>
            <w:tcMar>
              <w:top w:w="15" w:type="dxa"/>
              <w:left w:w="15" w:type="dxa"/>
              <w:bottom w:w="0" w:type="dxa"/>
              <w:right w:w="15" w:type="dxa"/>
            </w:tcMar>
            <w:vAlign w:val="center"/>
          </w:tcPr>
          <w:p>
            <w:pPr>
              <w:widowControl/>
              <w:spacing w:line="300" w:lineRule="exact"/>
              <w:jc w:val="left"/>
              <w:rPr>
                <w:rFonts w:ascii="仿宋" w:hAnsi="仿宋" w:eastAsia="仿宋" w:cs="仿宋"/>
                <w:bCs/>
                <w:color w:val="auto"/>
                <w:sz w:val="24"/>
                <w:highlight w:val="red"/>
              </w:rPr>
            </w:pPr>
            <w:r>
              <w:rPr>
                <w:rFonts w:hint="eastAsia" w:ascii="仿宋" w:hAnsi="仿宋" w:eastAsia="仿宋" w:cs="仿宋"/>
                <w:color w:val="auto"/>
                <w:sz w:val="24"/>
              </w:rPr>
              <w:t>重大、疑难案件服务方案</w:t>
            </w:r>
          </w:p>
        </w:tc>
        <w:tc>
          <w:tcPr>
            <w:tcW w:w="3539" w:type="pct"/>
            <w:vAlign w:val="center"/>
          </w:tcPr>
          <w:p>
            <w:pPr>
              <w:spacing w:line="360" w:lineRule="auto"/>
              <w:ind w:firstLine="480" w:firstLineChars="200"/>
              <w:jc w:val="left"/>
              <w:rPr>
                <w:rFonts w:ascii="仿宋" w:hAnsi="仿宋" w:eastAsia="仿宋" w:cs="仿宋"/>
                <w:bCs/>
                <w:color w:val="auto"/>
                <w:sz w:val="24"/>
                <w:highlight w:val="red"/>
              </w:rPr>
            </w:pPr>
            <w:r>
              <w:rPr>
                <w:rFonts w:hint="eastAsia" w:ascii="仿宋" w:hAnsi="仿宋" w:eastAsia="仿宋" w:cs="仿宋"/>
                <w:color w:val="auto"/>
                <w:sz w:val="24"/>
              </w:rPr>
              <w:t>供应商根据自身对项目的理解设计重大、疑难案件服务方案。服务方案针对性、完善性、科学性、可行性强得7分；方案完善性、科学性、可行性不足得4分；方案针不完整、针对性、科学性、可行性差得1分。未提供方案不得分。</w:t>
            </w:r>
          </w:p>
        </w:tc>
        <w:tc>
          <w:tcPr>
            <w:tcW w:w="361" w:type="pct"/>
            <w:tcMar>
              <w:top w:w="15" w:type="dxa"/>
              <w:left w:w="15" w:type="dxa"/>
              <w:bottom w:w="0" w:type="dxa"/>
              <w:right w:w="15" w:type="dxa"/>
            </w:tcMar>
            <w:vAlign w:val="center"/>
          </w:tcPr>
          <w:p>
            <w:pPr>
              <w:spacing w:line="26" w:lineRule="atLeast"/>
              <w:jc w:val="center"/>
              <w:rPr>
                <w:rFonts w:ascii="仿宋" w:hAnsi="仿宋" w:eastAsia="仿宋" w:cs="仿宋"/>
                <w:bCs/>
                <w:color w:val="auto"/>
                <w:sz w:val="24"/>
              </w:rPr>
            </w:pPr>
            <w:r>
              <w:rPr>
                <w:rFonts w:hint="eastAsia" w:ascii="仿宋" w:hAnsi="仿宋" w:eastAsia="仿宋" w:cs="仿宋"/>
                <w:bCs/>
                <w:color w:val="auto"/>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9" w:hRule="atLeast"/>
          <w:jc w:val="center"/>
        </w:trPr>
        <w:tc>
          <w:tcPr>
            <w:tcW w:w="306" w:type="pct"/>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5</w:t>
            </w:r>
          </w:p>
        </w:tc>
        <w:tc>
          <w:tcPr>
            <w:tcW w:w="793" w:type="pct"/>
            <w:tcMar>
              <w:top w:w="15" w:type="dxa"/>
              <w:left w:w="15" w:type="dxa"/>
              <w:bottom w:w="0" w:type="dxa"/>
              <w:right w:w="15" w:type="dxa"/>
            </w:tcMar>
            <w:vAlign w:val="center"/>
          </w:tcPr>
          <w:p>
            <w:pPr>
              <w:widowControl/>
              <w:spacing w:line="300" w:lineRule="exact"/>
              <w:jc w:val="left"/>
              <w:rPr>
                <w:rFonts w:ascii="仿宋" w:hAnsi="仿宋" w:eastAsia="仿宋" w:cs="仿宋"/>
                <w:color w:val="auto"/>
                <w:sz w:val="24"/>
                <w:highlight w:val="red"/>
              </w:rPr>
            </w:pPr>
            <w:r>
              <w:rPr>
                <w:rFonts w:hint="eastAsia" w:ascii="仿宋" w:hAnsi="仿宋" w:eastAsia="仿宋" w:cs="仿宋"/>
                <w:color w:val="auto"/>
                <w:sz w:val="24"/>
              </w:rPr>
              <w:t>履约验收方案</w:t>
            </w:r>
          </w:p>
        </w:tc>
        <w:tc>
          <w:tcPr>
            <w:tcW w:w="3539" w:type="pct"/>
          </w:tcPr>
          <w:p>
            <w:pPr>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根据项目内容，从采购人的角度阐述如何对供应商进行有效履约验收，履约验收方案完整详实，可行性高，能够充分保障采购人权益得7分；履约验收方案完整度、可行性一般，基本能够充分保障采购人权益得4分；履约验收方案完整度、可行性差，不能够充分保障采购人权益得1分；未提供履约验收方案得0分。</w:t>
            </w:r>
          </w:p>
        </w:tc>
        <w:tc>
          <w:tcPr>
            <w:tcW w:w="361" w:type="pct"/>
            <w:tcMar>
              <w:top w:w="15" w:type="dxa"/>
              <w:left w:w="15" w:type="dxa"/>
              <w:bottom w:w="0" w:type="dxa"/>
              <w:right w:w="15" w:type="dxa"/>
            </w:tcMar>
            <w:vAlign w:val="center"/>
          </w:tcPr>
          <w:p>
            <w:pPr>
              <w:spacing w:line="26" w:lineRule="atLeast"/>
              <w:jc w:val="center"/>
              <w:rPr>
                <w:rFonts w:ascii="仿宋" w:hAnsi="仿宋" w:eastAsia="仿宋" w:cs="仿宋"/>
                <w:bCs/>
                <w:color w:val="auto"/>
                <w:sz w:val="24"/>
              </w:rPr>
            </w:pPr>
            <w:r>
              <w:rPr>
                <w:rFonts w:hint="eastAsia" w:ascii="仿宋" w:hAnsi="仿宋" w:eastAsia="仿宋" w:cs="仿宋"/>
                <w:bCs/>
                <w:color w:val="auto"/>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306" w:type="pct"/>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sz w:val="24"/>
              </w:rPr>
              <w:t>五</w:t>
            </w:r>
          </w:p>
        </w:tc>
        <w:tc>
          <w:tcPr>
            <w:tcW w:w="4335" w:type="pct"/>
            <w:gridSpan w:val="2"/>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sz w:val="24"/>
              </w:rPr>
              <w:t>组织管理体系评价</w:t>
            </w:r>
          </w:p>
        </w:tc>
        <w:tc>
          <w:tcPr>
            <w:tcW w:w="358" w:type="pct"/>
            <w:tcMar>
              <w:top w:w="15" w:type="dxa"/>
              <w:left w:w="15" w:type="dxa"/>
              <w:bottom w:w="0" w:type="dxa"/>
              <w:right w:w="15" w:type="dxa"/>
            </w:tcMar>
            <w:vAlign w:val="center"/>
          </w:tcPr>
          <w:p>
            <w:pPr>
              <w:spacing w:line="26" w:lineRule="atLeast"/>
              <w:jc w:val="center"/>
              <w:rPr>
                <w:rFonts w:ascii="仿宋" w:hAnsi="仿宋" w:eastAsia="仿宋" w:cs="仿宋"/>
                <w:b/>
                <w:color w:val="auto"/>
                <w:sz w:val="24"/>
              </w:rPr>
            </w:pPr>
            <w:r>
              <w:rPr>
                <w:rFonts w:hint="eastAsia" w:ascii="仿宋" w:hAnsi="仿宋" w:eastAsia="仿宋" w:cs="仿宋"/>
                <w:b/>
                <w:color w:val="auto"/>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0" w:hRule="atLeast"/>
          <w:jc w:val="center"/>
        </w:trPr>
        <w:tc>
          <w:tcPr>
            <w:tcW w:w="306" w:type="pct"/>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1</w:t>
            </w:r>
          </w:p>
        </w:tc>
        <w:tc>
          <w:tcPr>
            <w:tcW w:w="793" w:type="pct"/>
            <w:tcMar>
              <w:top w:w="15" w:type="dxa"/>
              <w:left w:w="15" w:type="dxa"/>
              <w:bottom w:w="0" w:type="dxa"/>
              <w:right w:w="15" w:type="dxa"/>
            </w:tcMar>
            <w:vAlign w:val="center"/>
          </w:tcPr>
          <w:p>
            <w:pPr>
              <w:widowControl/>
              <w:spacing w:line="300" w:lineRule="exact"/>
              <w:jc w:val="center"/>
              <w:rPr>
                <w:rFonts w:ascii="仿宋" w:hAnsi="仿宋" w:eastAsia="仿宋" w:cs="仿宋"/>
                <w:color w:val="auto"/>
                <w:sz w:val="24"/>
              </w:rPr>
            </w:pPr>
            <w:r>
              <w:rPr>
                <w:rFonts w:hint="eastAsia" w:ascii="仿宋" w:hAnsi="仿宋" w:eastAsia="仿宋" w:cs="仿宋"/>
                <w:color w:val="auto"/>
                <w:sz w:val="24"/>
              </w:rPr>
              <w:t>项目服务团队管理及培训方案</w:t>
            </w:r>
          </w:p>
        </w:tc>
        <w:tc>
          <w:tcPr>
            <w:tcW w:w="3539" w:type="pct"/>
            <w:vAlign w:val="center"/>
          </w:tcPr>
          <w:p>
            <w:pPr>
              <w:numPr>
                <w:ilvl w:val="0"/>
                <w:numId w:val="3"/>
              </w:numPr>
              <w:spacing w:line="360" w:lineRule="auto"/>
              <w:jc w:val="left"/>
              <w:rPr>
                <w:rFonts w:ascii="仿宋" w:hAnsi="仿宋" w:eastAsia="仿宋" w:cs="仿宋"/>
                <w:color w:val="auto"/>
                <w:sz w:val="24"/>
              </w:rPr>
            </w:pPr>
            <w:r>
              <w:rPr>
                <w:rFonts w:hint="eastAsia" w:ascii="仿宋" w:hAnsi="仿宋" w:eastAsia="仿宋" w:cs="仿宋"/>
                <w:color w:val="auto"/>
                <w:sz w:val="24"/>
              </w:rPr>
              <w:t>供应商围绕本项目成立专门的服务团队，团队架构完整，分工整体合理得3分；构架不合理，分工不明确得1分；其他或未提供不得分；</w:t>
            </w:r>
          </w:p>
          <w:p>
            <w:pPr>
              <w:numPr>
                <w:ilvl w:val="0"/>
                <w:numId w:val="3"/>
              </w:numPr>
              <w:spacing w:line="360" w:lineRule="auto"/>
              <w:jc w:val="left"/>
              <w:rPr>
                <w:rFonts w:ascii="仿宋" w:hAnsi="仿宋" w:eastAsia="仿宋" w:cs="仿宋"/>
                <w:color w:val="auto"/>
                <w:sz w:val="24"/>
              </w:rPr>
            </w:pPr>
            <w:r>
              <w:rPr>
                <w:rFonts w:hint="eastAsia" w:ascii="仿宋" w:hAnsi="仿宋" w:eastAsia="仿宋" w:cs="仿宋"/>
                <w:color w:val="auto"/>
                <w:sz w:val="24"/>
              </w:rPr>
              <w:t>制定团队管理方案，方案完整、可行性强得3分；方案不完整、可行性一般得1分；其他或未提供不得分；</w:t>
            </w:r>
          </w:p>
          <w:p>
            <w:pPr>
              <w:numPr>
                <w:ilvl w:val="0"/>
                <w:numId w:val="3"/>
              </w:numPr>
              <w:spacing w:line="360" w:lineRule="auto"/>
              <w:jc w:val="left"/>
              <w:rPr>
                <w:rFonts w:ascii="仿宋" w:hAnsi="仿宋" w:eastAsia="仿宋" w:cs="仿宋"/>
                <w:bCs/>
                <w:color w:val="auto"/>
                <w:sz w:val="24"/>
              </w:rPr>
            </w:pPr>
            <w:r>
              <w:rPr>
                <w:rFonts w:hint="eastAsia" w:ascii="仿宋" w:hAnsi="仿宋" w:eastAsia="仿宋" w:cs="仿宋"/>
                <w:color w:val="auto"/>
                <w:sz w:val="24"/>
              </w:rPr>
              <w:t>围绕如何提升服务团队成员服务水平提出培训方案，方案合理、有效，可行性强的得3分；方案不够合理、有效，可行性一般得1分；其他或未提供不得分；</w:t>
            </w:r>
          </w:p>
        </w:tc>
        <w:tc>
          <w:tcPr>
            <w:tcW w:w="361" w:type="pct"/>
            <w:tcMar>
              <w:top w:w="15" w:type="dxa"/>
              <w:left w:w="15" w:type="dxa"/>
              <w:bottom w:w="0" w:type="dxa"/>
              <w:right w:w="15" w:type="dxa"/>
            </w:tcMar>
            <w:vAlign w:val="center"/>
          </w:tcPr>
          <w:p>
            <w:pPr>
              <w:spacing w:line="26" w:lineRule="atLeast"/>
              <w:jc w:val="center"/>
              <w:rPr>
                <w:rFonts w:ascii="仿宋" w:hAnsi="仿宋" w:eastAsia="仿宋" w:cs="仿宋"/>
                <w:bCs/>
                <w:color w:val="auto"/>
                <w:sz w:val="24"/>
              </w:rPr>
            </w:pPr>
            <w:r>
              <w:rPr>
                <w:rFonts w:hint="eastAsia" w:ascii="仿宋" w:hAnsi="仿宋" w:eastAsia="仿宋" w:cs="仿宋"/>
                <w:bCs/>
                <w:color w:val="auto"/>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0" w:hRule="atLeast"/>
          <w:jc w:val="center"/>
        </w:trPr>
        <w:tc>
          <w:tcPr>
            <w:tcW w:w="306" w:type="pct"/>
            <w:tcMar>
              <w:top w:w="15" w:type="dxa"/>
              <w:left w:w="15" w:type="dxa"/>
              <w:bottom w:w="0" w:type="dxa"/>
              <w:right w:w="15" w:type="dxa"/>
            </w:tcMar>
            <w:vAlign w:val="center"/>
          </w:tcPr>
          <w:p>
            <w:pPr>
              <w:spacing w:line="26" w:lineRule="atLeast"/>
              <w:jc w:val="center"/>
              <w:rPr>
                <w:rFonts w:ascii="仿宋" w:hAnsi="仿宋" w:eastAsia="仿宋" w:cs="仿宋"/>
                <w:color w:val="auto"/>
                <w:sz w:val="24"/>
              </w:rPr>
            </w:pPr>
            <w:r>
              <w:rPr>
                <w:rFonts w:hint="eastAsia" w:ascii="仿宋" w:hAnsi="仿宋" w:eastAsia="仿宋" w:cs="仿宋"/>
                <w:color w:val="auto"/>
                <w:sz w:val="24"/>
              </w:rPr>
              <w:t>2</w:t>
            </w:r>
          </w:p>
        </w:tc>
        <w:tc>
          <w:tcPr>
            <w:tcW w:w="793" w:type="pct"/>
            <w:tcMar>
              <w:top w:w="15" w:type="dxa"/>
              <w:left w:w="15" w:type="dxa"/>
              <w:bottom w:w="0" w:type="dxa"/>
              <w:right w:w="15" w:type="dxa"/>
            </w:tcMar>
            <w:vAlign w:val="center"/>
          </w:tcPr>
          <w:p>
            <w:pPr>
              <w:widowControl/>
              <w:spacing w:line="300" w:lineRule="exact"/>
              <w:jc w:val="center"/>
              <w:rPr>
                <w:rFonts w:ascii="仿宋" w:hAnsi="仿宋" w:eastAsia="仿宋" w:cs="仿宋"/>
                <w:color w:val="auto"/>
                <w:sz w:val="24"/>
              </w:rPr>
            </w:pPr>
            <w:r>
              <w:rPr>
                <w:rFonts w:hint="eastAsia" w:ascii="仿宋" w:hAnsi="仿宋" w:eastAsia="仿宋" w:cs="仿宋"/>
                <w:color w:val="auto"/>
                <w:sz w:val="24"/>
              </w:rPr>
              <w:t>服务质量承诺及监督措施</w:t>
            </w:r>
          </w:p>
        </w:tc>
        <w:tc>
          <w:tcPr>
            <w:tcW w:w="3539" w:type="pct"/>
          </w:tcPr>
          <w:p>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供应商在文件中承诺的确保其服务质量的监督措施。主要分析指标包括：服务投诉处理办法、服务监督措施、争议处理等。</w:t>
            </w:r>
          </w:p>
          <w:p>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服务投诉处理办法好、服务监督措施得当、争议处理合理的得10分；</w:t>
            </w:r>
          </w:p>
          <w:p>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服务投诉处理办法较好、服务监督措施较为得当、争议处理较为合理的得7分；</w:t>
            </w:r>
          </w:p>
          <w:p>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服务投诉处理办法一般、服务监督措施一般、争议处理欠合理的得4分；</w:t>
            </w:r>
          </w:p>
          <w:p>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服务投诉处理办法较差、服务监督措施不够得当、争议处理不够合理的得1分；</w:t>
            </w:r>
          </w:p>
          <w:p>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未提供服务质量承诺及监督措施得0分。</w:t>
            </w:r>
          </w:p>
        </w:tc>
        <w:tc>
          <w:tcPr>
            <w:tcW w:w="361" w:type="pct"/>
            <w:tcMar>
              <w:top w:w="15" w:type="dxa"/>
              <w:left w:w="15" w:type="dxa"/>
              <w:bottom w:w="0" w:type="dxa"/>
              <w:right w:w="15" w:type="dxa"/>
            </w:tcMar>
            <w:vAlign w:val="center"/>
          </w:tcPr>
          <w:p>
            <w:pPr>
              <w:spacing w:line="26" w:lineRule="atLeast"/>
              <w:jc w:val="center"/>
              <w:rPr>
                <w:rFonts w:ascii="仿宋" w:hAnsi="仿宋" w:eastAsia="仿宋" w:cs="仿宋"/>
                <w:bCs/>
                <w:color w:val="auto"/>
                <w:sz w:val="24"/>
              </w:rPr>
            </w:pPr>
            <w:r>
              <w:rPr>
                <w:rFonts w:hint="eastAsia" w:ascii="仿宋" w:hAnsi="仿宋" w:eastAsia="仿宋" w:cs="仿宋"/>
                <w:bCs/>
                <w:color w:val="auto"/>
                <w:sz w:val="24"/>
              </w:rPr>
              <w:t>10</w:t>
            </w:r>
          </w:p>
        </w:tc>
      </w:tr>
    </w:tbl>
    <w:p>
      <w:pPr>
        <w:pStyle w:val="11"/>
        <w:rPr>
          <w:color w:val="auto"/>
        </w:rPr>
      </w:pPr>
    </w:p>
    <w:p>
      <w:pPr>
        <w:spacing w:before="240" w:beforeLines="100"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29.3采用综合评分法的，评标结果按评审后得分由高到低顺序排列。得分相同的（保留至小数点后2位，四舍五入），按投标报价由低到高顺序排列。得分且投标报价相同的，按技术响应优劣顺序排列。中标候选人由磋商小组确定。磋商响应文件满足磋商文件全部实质性要求，且按照评审因素的量化指标评审得分最高的供应商为排名第一的中标候选人。</w:t>
      </w:r>
    </w:p>
    <w:p>
      <w:pPr>
        <w:pStyle w:val="4"/>
        <w:keepNext w:val="0"/>
        <w:keepLines w:val="0"/>
        <w:spacing w:before="0" w:after="0"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30、相同品牌产品的处理原则</w:t>
      </w:r>
    </w:p>
    <w:p>
      <w:pPr>
        <w:spacing w:line="360" w:lineRule="auto"/>
        <w:ind w:left="23"/>
        <w:rPr>
          <w:rFonts w:ascii="仿宋" w:hAnsi="仿宋" w:eastAsia="仿宋" w:cs="仿宋"/>
          <w:color w:val="auto"/>
          <w:sz w:val="24"/>
        </w:rPr>
      </w:pPr>
      <w:r>
        <w:rPr>
          <w:rFonts w:hint="eastAsia" w:ascii="仿宋" w:hAnsi="仿宋" w:eastAsia="仿宋" w:cs="仿宋"/>
          <w:color w:val="auto"/>
          <w:sz w:val="24"/>
        </w:rPr>
        <w:t>30.1本项目不涉及。</w:t>
      </w:r>
    </w:p>
    <w:p>
      <w:pPr>
        <w:pStyle w:val="4"/>
        <w:keepNext w:val="0"/>
        <w:keepLines w:val="0"/>
        <w:spacing w:before="0" w:after="0"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31、竞争性磋商特殊情况处理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31.1出现下列情形之一的，应当终止竞争性磋商采购活动，发布项目终止公告并说明原因，重新开展采购活动：</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（1）因情况变化，不再符合规定的竞争性磋商采购方式适用情形的；</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（2）出现影响采购公正的违法、违规行为的。</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31.2采用竞争性磋商采购方式采购的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4"/>
        <w:keepNext w:val="0"/>
        <w:keepLines w:val="0"/>
        <w:spacing w:before="0" w:after="0"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32、允许组织重新评审的情形</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32.1磋商结果汇总完成后，除下列情形外，任何人不得以任何理由组织重新评审：</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（1）资格性检查认定错误的； </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（2）分值汇总计算错误的； </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（3）分项评分超出评分标准范围的； </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（4）客观分评分不一致的；</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（5）经磋商小组一致认定评分畸高、畸低的。</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采购人、采购代理机构发现磋商小组未按照磋商文件规定的评审标准进行评审的，应当重新开展采购活动，并同时书面报告本级财政部门。</w:t>
      </w:r>
    </w:p>
    <w:p>
      <w:pPr>
        <w:pStyle w:val="3"/>
        <w:keepNext w:val="0"/>
        <w:keepLines w:val="0"/>
        <w:spacing w:before="200" w:after="200" w:line="240" w:lineRule="auto"/>
        <w:rPr>
          <w:rFonts w:ascii="仿宋" w:hAnsi="仿宋" w:eastAsia="仿宋" w:cs="仿宋"/>
          <w:color w:val="auto"/>
          <w:sz w:val="30"/>
          <w:szCs w:val="30"/>
        </w:rPr>
      </w:pPr>
      <w:r>
        <w:rPr>
          <w:rFonts w:hint="eastAsia" w:ascii="仿宋" w:hAnsi="仿宋" w:eastAsia="仿宋" w:cs="仿宋"/>
          <w:color w:val="auto"/>
          <w:sz w:val="30"/>
          <w:szCs w:val="30"/>
        </w:rPr>
        <w:t>六、确定结果</w:t>
      </w:r>
    </w:p>
    <w:p>
      <w:pPr>
        <w:pStyle w:val="4"/>
        <w:keepNext w:val="0"/>
        <w:keepLines w:val="0"/>
        <w:spacing w:before="0" w:after="0" w:line="360" w:lineRule="auto"/>
        <w:jc w:val="left"/>
        <w:rPr>
          <w:rFonts w:ascii="仿宋" w:hAnsi="仿宋" w:eastAsia="仿宋" w:cs="仿宋"/>
          <w:color w:val="auto"/>
          <w:sz w:val="24"/>
          <w:szCs w:val="24"/>
        </w:rPr>
      </w:pPr>
      <w:bookmarkStart w:id="124" w:name="_Toc105940923"/>
      <w:bookmarkStart w:id="125" w:name="_Toc105940841"/>
      <w:r>
        <w:rPr>
          <w:rFonts w:hint="eastAsia" w:ascii="仿宋" w:hAnsi="仿宋" w:eastAsia="仿宋" w:cs="仿宋"/>
          <w:color w:val="auto"/>
          <w:sz w:val="24"/>
          <w:szCs w:val="24"/>
        </w:rPr>
        <w:t>33、推荐和确定中标人</w:t>
      </w:r>
      <w:bookmarkEnd w:id="124"/>
      <w:bookmarkEnd w:id="125"/>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33.1磋商小组将根据评标结果向采购人推荐出中标人。</w:t>
      </w:r>
    </w:p>
    <w:p>
      <w:pPr>
        <w:spacing w:line="360" w:lineRule="auto"/>
        <w:ind w:firstLine="480" w:firstLineChars="200"/>
        <w:rPr>
          <w:rFonts w:ascii="仿宋" w:hAnsi="仿宋" w:eastAsia="仿宋" w:cs="仿宋"/>
          <w:b/>
          <w:color w:val="auto"/>
          <w:kern w:val="0"/>
          <w:sz w:val="30"/>
          <w:szCs w:val="30"/>
        </w:rPr>
      </w:pPr>
      <w:r>
        <w:rPr>
          <w:rFonts w:hint="eastAsia" w:ascii="仿宋" w:hAnsi="仿宋" w:eastAsia="仿宋" w:cs="仿宋"/>
          <w:color w:val="auto"/>
          <w:sz w:val="24"/>
        </w:rPr>
        <w:t>33.2采购人根据磋商小组的推荐最终确定中标人。</w:t>
      </w:r>
      <w:bookmarkStart w:id="126" w:name="_Toc105940924"/>
      <w:bookmarkStart w:id="127" w:name="_Toc105940842"/>
    </w:p>
    <w:p>
      <w:pPr>
        <w:pStyle w:val="3"/>
        <w:keepNext w:val="0"/>
        <w:keepLines w:val="0"/>
        <w:spacing w:before="200" w:after="200" w:line="240" w:lineRule="auto"/>
        <w:rPr>
          <w:rFonts w:ascii="仿宋" w:hAnsi="仿宋" w:eastAsia="仿宋" w:cs="仿宋"/>
          <w:color w:val="auto"/>
          <w:sz w:val="30"/>
          <w:szCs w:val="30"/>
        </w:rPr>
      </w:pPr>
      <w:r>
        <w:rPr>
          <w:rFonts w:hint="eastAsia" w:ascii="仿宋" w:hAnsi="仿宋" w:eastAsia="仿宋" w:cs="仿宋"/>
          <w:color w:val="auto"/>
          <w:sz w:val="30"/>
          <w:szCs w:val="30"/>
        </w:rPr>
        <w:t>七、授予合同</w:t>
      </w:r>
      <w:bookmarkEnd w:id="126"/>
      <w:bookmarkEnd w:id="127"/>
    </w:p>
    <w:p>
      <w:pPr>
        <w:pStyle w:val="4"/>
        <w:keepNext w:val="0"/>
        <w:keepLines w:val="0"/>
        <w:spacing w:before="0" w:after="0" w:line="360" w:lineRule="auto"/>
        <w:jc w:val="left"/>
        <w:rPr>
          <w:rFonts w:ascii="仿宋" w:hAnsi="仿宋" w:eastAsia="仿宋" w:cs="仿宋"/>
          <w:color w:val="auto"/>
          <w:sz w:val="24"/>
          <w:szCs w:val="24"/>
        </w:rPr>
      </w:pPr>
      <w:bookmarkStart w:id="128" w:name="_Toc105940925"/>
      <w:bookmarkStart w:id="129" w:name="_Toc105940843"/>
      <w:r>
        <w:rPr>
          <w:rFonts w:hint="eastAsia" w:ascii="仿宋" w:hAnsi="仿宋" w:eastAsia="仿宋" w:cs="仿宋"/>
          <w:color w:val="auto"/>
          <w:sz w:val="24"/>
          <w:szCs w:val="24"/>
        </w:rPr>
        <w:t>34、采购人接受和拒绝任何或所有投标的权利</w:t>
      </w:r>
      <w:bookmarkEnd w:id="128"/>
      <w:bookmarkEnd w:id="129"/>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34.1为维护国家和社会公共利益，采购人保留在授标之前任何时候接受或拒绝任何供应商中标的权利，且对受影响的供应商不承担任何责任。</w:t>
      </w:r>
    </w:p>
    <w:p>
      <w:pPr>
        <w:pStyle w:val="4"/>
        <w:keepNext w:val="0"/>
        <w:keepLines w:val="0"/>
        <w:spacing w:before="0" w:after="0" w:line="360" w:lineRule="auto"/>
        <w:jc w:val="left"/>
        <w:rPr>
          <w:rFonts w:ascii="仿宋" w:hAnsi="仿宋" w:eastAsia="仿宋" w:cs="仿宋"/>
          <w:color w:val="auto"/>
          <w:sz w:val="24"/>
          <w:szCs w:val="24"/>
        </w:rPr>
      </w:pPr>
      <w:bookmarkStart w:id="130" w:name="_Toc105940926"/>
      <w:bookmarkStart w:id="131" w:name="_Toc105940844"/>
      <w:r>
        <w:rPr>
          <w:rFonts w:hint="eastAsia" w:ascii="仿宋" w:hAnsi="仿宋" w:eastAsia="仿宋" w:cs="仿宋"/>
          <w:color w:val="auto"/>
          <w:sz w:val="24"/>
          <w:szCs w:val="24"/>
        </w:rPr>
        <w:t>35、</w:t>
      </w:r>
      <w:bookmarkEnd w:id="130"/>
      <w:bookmarkEnd w:id="131"/>
      <w:r>
        <w:rPr>
          <w:rFonts w:hint="eastAsia" w:ascii="仿宋" w:hAnsi="仿宋" w:eastAsia="仿宋" w:cs="仿宋"/>
          <w:color w:val="auto"/>
          <w:sz w:val="24"/>
          <w:szCs w:val="24"/>
        </w:rPr>
        <w:t>成交通知书</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35.1在投标有效期期满之前，采购人将以书面形式通知中标人，中标人在收到成交通知书后，须立即以书面签收形式回复采购人，确认成交通知书已收悉。</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35.2成交通知书将是合同的一个组成部分。</w:t>
      </w: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u w:val="single"/>
        </w:rPr>
        <w:t>35.3成交通知书发出后，采购人不得违法改变中标结果，中标人无正当理由不得放弃中标</w:t>
      </w:r>
      <w:r>
        <w:rPr>
          <w:rFonts w:hint="eastAsia" w:ascii="仿宋" w:hAnsi="仿宋" w:eastAsia="仿宋" w:cs="仿宋"/>
          <w:b/>
          <w:bCs/>
          <w:color w:val="auto"/>
          <w:sz w:val="24"/>
        </w:rPr>
        <w:t>。</w:t>
      </w:r>
    </w:p>
    <w:p>
      <w:pPr>
        <w:spacing w:line="360" w:lineRule="auto"/>
        <w:ind w:firstLine="480" w:firstLineChars="200"/>
        <w:rPr>
          <w:rFonts w:ascii="仿宋" w:hAnsi="仿宋" w:eastAsia="仿宋" w:cs="仿宋"/>
          <w:color w:val="auto"/>
          <w:sz w:val="24"/>
        </w:rPr>
      </w:pPr>
      <w:bookmarkStart w:id="132" w:name="_Toc105940845"/>
      <w:bookmarkStart w:id="133" w:name="_Toc105940927"/>
      <w:r>
        <w:rPr>
          <w:rFonts w:hint="eastAsia" w:ascii="仿宋" w:hAnsi="仿宋" w:eastAsia="仿宋" w:cs="仿宋"/>
          <w:color w:val="auto"/>
          <w:sz w:val="24"/>
        </w:rPr>
        <w:t>35.4履约保证金</w:t>
      </w:r>
      <w:bookmarkEnd w:id="132"/>
      <w:bookmarkEnd w:id="133"/>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本项目无履约保证金。</w:t>
      </w:r>
    </w:p>
    <w:p>
      <w:pPr>
        <w:pStyle w:val="4"/>
        <w:keepNext w:val="0"/>
        <w:keepLines w:val="0"/>
        <w:spacing w:before="0" w:after="0" w:line="360" w:lineRule="auto"/>
        <w:jc w:val="left"/>
        <w:rPr>
          <w:rFonts w:ascii="仿宋" w:hAnsi="仿宋" w:eastAsia="仿宋" w:cs="仿宋"/>
          <w:color w:val="auto"/>
          <w:sz w:val="24"/>
          <w:szCs w:val="24"/>
        </w:rPr>
      </w:pPr>
      <w:bookmarkStart w:id="134" w:name="_Toc105940928"/>
      <w:bookmarkStart w:id="135" w:name="_Toc105940846"/>
      <w:r>
        <w:rPr>
          <w:rFonts w:hint="eastAsia" w:ascii="仿宋" w:hAnsi="仿宋" w:eastAsia="仿宋" w:cs="仿宋"/>
          <w:color w:val="auto"/>
          <w:sz w:val="24"/>
          <w:szCs w:val="24"/>
        </w:rPr>
        <w:t>36、签订合同时不得对磋商响应文件作实质性修改</w:t>
      </w:r>
      <w:bookmarkEnd w:id="134"/>
      <w:bookmarkEnd w:id="135"/>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36.1采购人按照磋商文件和中标人磋商响应文件的约定，与中标人签订书面合同。所签订的合同不得对磋商文件和中标人磋商响应文件作实质性修改。</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36.2合同履行中，采购人需追加与合同标的相同服务时，在不改变合同其他条款的前提下，可以与中标人协商签订补充合同，但所有补充合同的采购金额不得超过原合同采购金额的百分之十。</w:t>
      </w:r>
    </w:p>
    <w:p>
      <w:pPr>
        <w:pStyle w:val="4"/>
        <w:keepNext w:val="0"/>
        <w:keepLines w:val="0"/>
        <w:spacing w:before="0" w:after="0" w:line="360" w:lineRule="auto"/>
        <w:jc w:val="left"/>
        <w:rPr>
          <w:rFonts w:ascii="仿宋" w:hAnsi="仿宋" w:eastAsia="仿宋" w:cs="仿宋"/>
          <w:color w:val="auto"/>
          <w:sz w:val="24"/>
          <w:szCs w:val="24"/>
        </w:rPr>
      </w:pPr>
      <w:bookmarkStart w:id="136" w:name="_Toc105940929"/>
      <w:bookmarkStart w:id="137" w:name="_Toc105940847"/>
      <w:r>
        <w:rPr>
          <w:rFonts w:hint="eastAsia" w:ascii="仿宋" w:hAnsi="仿宋" w:eastAsia="仿宋" w:cs="仿宋"/>
          <w:color w:val="auto"/>
          <w:sz w:val="24"/>
          <w:szCs w:val="24"/>
        </w:rPr>
        <w:t>37、签订合同</w:t>
      </w:r>
      <w:bookmarkEnd w:id="136"/>
      <w:bookmarkEnd w:id="137"/>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37.1采购人应当自成交通知书发出之日起15日内，按照磋商文件和中标人磋商响应文件的规定，缴纳履约保证金后与中标人签订书面合同。所签订的合同不得对磋商文件确定的事项和中标人磋商响应文件作实质性修改。采购人不得向中标人提出任何不合理的要求作为签订合同的条件。</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37.2政府采购合同应当包括采购人与中标人的名称和住所、标的、数量、质量、价款或者报酬、履行期限及地点和方式、验收要求、违约责任、解决争议的方法等内容。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37.3采购人与中标人应当根据合同的约定依法履行合同义务。政府采购合同的履行、违约责任和解决争议的方法等适用《中华人民共和国民法典》。</w:t>
      </w:r>
    </w:p>
    <w:p>
      <w:pPr>
        <w:pStyle w:val="3"/>
        <w:keepNext w:val="0"/>
        <w:keepLines w:val="0"/>
        <w:spacing w:before="200" w:after="200" w:line="240" w:lineRule="auto"/>
        <w:rPr>
          <w:rFonts w:ascii="仿宋" w:hAnsi="仿宋" w:eastAsia="仿宋" w:cs="仿宋"/>
          <w:color w:val="auto"/>
          <w:sz w:val="30"/>
          <w:szCs w:val="30"/>
        </w:rPr>
      </w:pPr>
      <w:r>
        <w:rPr>
          <w:rFonts w:hint="eastAsia" w:ascii="仿宋" w:hAnsi="仿宋" w:eastAsia="仿宋" w:cs="仿宋"/>
          <w:color w:val="auto"/>
          <w:sz w:val="30"/>
          <w:szCs w:val="30"/>
        </w:rPr>
        <w:t>八、询问、质疑、投诉</w:t>
      </w:r>
    </w:p>
    <w:p>
      <w:pPr>
        <w:pStyle w:val="4"/>
        <w:keepNext w:val="0"/>
        <w:keepLines w:val="0"/>
        <w:spacing w:before="0" w:after="0" w:line="360" w:lineRule="auto"/>
        <w:jc w:val="left"/>
        <w:rPr>
          <w:rFonts w:ascii="仿宋" w:hAnsi="仿宋" w:eastAsia="仿宋" w:cs="仿宋"/>
          <w:color w:val="auto"/>
          <w:sz w:val="24"/>
          <w:szCs w:val="24"/>
        </w:rPr>
      </w:pPr>
      <w:bookmarkStart w:id="138" w:name="_Toc105940931"/>
      <w:bookmarkStart w:id="139" w:name="_Toc105940849"/>
      <w:r>
        <w:rPr>
          <w:rFonts w:hint="eastAsia" w:ascii="仿宋" w:hAnsi="仿宋" w:eastAsia="仿宋" w:cs="仿宋"/>
          <w:color w:val="auto"/>
          <w:sz w:val="24"/>
          <w:szCs w:val="24"/>
        </w:rPr>
        <w:t>38、询问</w:t>
      </w:r>
      <w:bookmarkEnd w:id="138"/>
      <w:bookmarkEnd w:id="139"/>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供应商对招标活动事项有疑问的，可以向采购人或采购人提出询问，采购人将依法作出答复，但答复的内容不涉及商业秘密。</w:t>
      </w:r>
    </w:p>
    <w:p>
      <w:pPr>
        <w:pStyle w:val="4"/>
        <w:keepNext w:val="0"/>
        <w:keepLines w:val="0"/>
        <w:spacing w:before="0" w:after="0" w:line="360" w:lineRule="auto"/>
        <w:jc w:val="left"/>
        <w:rPr>
          <w:rFonts w:ascii="仿宋" w:hAnsi="仿宋" w:eastAsia="仿宋" w:cs="仿宋"/>
          <w:color w:val="auto"/>
          <w:sz w:val="24"/>
          <w:szCs w:val="24"/>
        </w:rPr>
      </w:pPr>
      <w:bookmarkStart w:id="140" w:name="_Toc105940850"/>
      <w:bookmarkStart w:id="141" w:name="_Toc105940932"/>
      <w:r>
        <w:rPr>
          <w:rFonts w:hint="eastAsia" w:ascii="仿宋" w:hAnsi="仿宋" w:eastAsia="仿宋" w:cs="仿宋"/>
          <w:color w:val="auto"/>
          <w:sz w:val="24"/>
          <w:szCs w:val="24"/>
        </w:rPr>
        <w:t>39、质疑</w:t>
      </w:r>
      <w:bookmarkEnd w:id="140"/>
      <w:bookmarkEnd w:id="141"/>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39.1质疑供应商是指直接参加本项目采购活动的供应商；供应商认为采购文件、采购过程和中标结果使自己的合法权益受到损害的，可以在知道或者应当知道其权益受到损害之日起七个工作日内，将质疑文件原件送达采购人。对采购文件提出质疑的，应自供应商获得采购文件之日起计算；对采购过程提出质疑的，自采购程序环节结束之日起计算；对中标结果提出质疑的，自中标结果公告届满之日起计算。</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39.2供应商应按照“谁主张、谁举证”的原则对质疑内容提供相关证明材料，并对质疑内容的真实性承担责任。供应商不得虚假质疑和恶意质疑，如通过捏造事实、伪造证明材料等方式提出异议或投诉，阻碍招投标活动正常进行的，属于严重不良行为，采购人将提请财政部门将其列入不良行为记录名单，并依法予以处罚。</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39.3供应商应当在法定质疑期内一次性提出针对同一采购程序环节的质疑。供应商如在法定期限内对同一采购程序环节提出多次质疑的，采购人将只对供应商第一次质疑作出答复。供应商如对采购需求提出质疑，除向采购人递交质疑文件外，还应当向采购人递交质疑文件，采购人负责处理和答复涉及采购需求、评分标准（如为采购人提供的）的质疑内容。</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39.4采购人或采购人在收到供应商的书面质疑后将及时组织调查核实，在七个工作日内作出答复，并以书面或在网站公告形式通知质疑供应商和其他有关供应商，答复的内容不涉及商业秘密。</w:t>
      </w:r>
    </w:p>
    <w:p>
      <w:pPr>
        <w:pStyle w:val="4"/>
        <w:keepNext w:val="0"/>
        <w:keepLines w:val="0"/>
        <w:spacing w:before="0" w:after="0" w:line="360" w:lineRule="auto"/>
        <w:jc w:val="left"/>
        <w:rPr>
          <w:rFonts w:ascii="仿宋" w:hAnsi="仿宋" w:eastAsia="仿宋" w:cs="仿宋"/>
          <w:color w:val="auto"/>
          <w:sz w:val="24"/>
          <w:szCs w:val="24"/>
        </w:rPr>
      </w:pPr>
      <w:bookmarkStart w:id="142" w:name="_Toc105940851"/>
      <w:bookmarkStart w:id="143" w:name="_Toc105940933"/>
      <w:r>
        <w:rPr>
          <w:rFonts w:hint="eastAsia" w:ascii="仿宋" w:hAnsi="仿宋" w:eastAsia="仿宋" w:cs="仿宋"/>
          <w:color w:val="auto"/>
          <w:sz w:val="24"/>
          <w:szCs w:val="24"/>
        </w:rPr>
        <w:t>40、投诉</w:t>
      </w:r>
      <w:bookmarkEnd w:id="142"/>
      <w:bookmarkEnd w:id="143"/>
    </w:p>
    <w:p>
      <w:pPr>
        <w:spacing w:line="360" w:lineRule="auto"/>
        <w:ind w:firstLine="480" w:firstLineChars="200"/>
        <w:jc w:val="left"/>
        <w:rPr>
          <w:rFonts w:ascii="仿宋" w:hAnsi="仿宋" w:eastAsia="仿宋" w:cs="仿宋"/>
          <w:b/>
          <w:color w:val="auto"/>
          <w:sz w:val="10"/>
          <w:szCs w:val="10"/>
          <w:shd w:val="clear" w:color="auto" w:fill="FFFFFF"/>
        </w:rPr>
      </w:pPr>
      <w:r>
        <w:rPr>
          <w:rFonts w:hint="eastAsia" w:ascii="仿宋" w:hAnsi="仿宋" w:eastAsia="仿宋" w:cs="仿宋"/>
          <w:color w:val="auto"/>
          <w:sz w:val="24"/>
        </w:rPr>
        <w:t>40.1质疑供应商对采购人的答复不满意，以及采购人未在规定的时间内作出答复的，可以在答复期满后十五个工作日内向采购项目同级财政部门投诉。</w:t>
      </w:r>
    </w:p>
    <w:p>
      <w:pPr>
        <w:pStyle w:val="3"/>
        <w:keepNext w:val="0"/>
        <w:keepLines w:val="0"/>
        <w:spacing w:before="200" w:after="200" w:line="240" w:lineRule="auto"/>
        <w:rPr>
          <w:rFonts w:ascii="仿宋" w:hAnsi="仿宋" w:eastAsia="仿宋" w:cs="仿宋"/>
          <w:color w:val="auto"/>
          <w:sz w:val="30"/>
          <w:szCs w:val="30"/>
        </w:rPr>
      </w:pPr>
      <w:r>
        <w:rPr>
          <w:rFonts w:hint="eastAsia" w:ascii="仿宋" w:hAnsi="仿宋" w:eastAsia="仿宋" w:cs="仿宋"/>
          <w:color w:val="auto"/>
          <w:sz w:val="30"/>
          <w:szCs w:val="30"/>
        </w:rPr>
        <w:t>九、诚实信用和解释权</w:t>
      </w:r>
    </w:p>
    <w:p>
      <w:pPr>
        <w:pStyle w:val="4"/>
        <w:keepNext w:val="0"/>
        <w:keepLines w:val="0"/>
        <w:spacing w:before="0" w:after="0"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41、诚实信用</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41.1供应商之间不得相互串通投标报价，不得妨碍其他供应商的公平竞争，不得损害采购人和其他供应商的合法权益。</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41.2供应商不得以向采购人工作人员、磋商小组成员行贿或者采取其他不正当手段谋取中标。经查实供应商有此行为的将按照政府采购有关规定处理。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41.3供应商不得虚假承诺，否则，按照提供虚假材料谋取中标（成交）处理。</w:t>
      </w:r>
    </w:p>
    <w:p>
      <w:pPr>
        <w:spacing w:line="360" w:lineRule="auto"/>
        <w:ind w:left="2" w:leftChars="1" w:firstLine="480" w:firstLineChars="200"/>
        <w:rPr>
          <w:rFonts w:ascii="仿宋" w:hAnsi="仿宋" w:eastAsia="仿宋" w:cs="仿宋"/>
          <w:color w:val="auto"/>
          <w:sz w:val="24"/>
        </w:rPr>
      </w:pPr>
      <w:r>
        <w:rPr>
          <w:rFonts w:hint="eastAsia" w:ascii="仿宋" w:hAnsi="仿宋" w:eastAsia="仿宋" w:cs="仿宋"/>
          <w:color w:val="auto"/>
          <w:sz w:val="24"/>
        </w:rPr>
        <w:t>41.4供应商应自觉遵守开标、评标纪律，扰乱开标评标现场秩序的，属于失信行为，根据《江苏省政府采购供应商监督管理暂行办法》，失信行为将被记入供应商诚信档案。</w:t>
      </w:r>
    </w:p>
    <w:p>
      <w:pPr>
        <w:spacing w:line="360" w:lineRule="auto"/>
        <w:ind w:left="2" w:leftChars="1" w:firstLine="480" w:firstLineChars="200"/>
        <w:rPr>
          <w:rFonts w:ascii="仿宋" w:hAnsi="仿宋" w:eastAsia="仿宋" w:cs="仿宋"/>
          <w:color w:val="auto"/>
          <w:sz w:val="24"/>
        </w:rPr>
      </w:pPr>
      <w:r>
        <w:rPr>
          <w:rFonts w:hint="eastAsia" w:ascii="仿宋" w:hAnsi="仿宋" w:eastAsia="仿宋" w:cs="仿宋"/>
          <w:color w:val="auto"/>
          <w:sz w:val="24"/>
        </w:rPr>
        <w:t>41.5根据《财政部关于在政府采购活动中查询及使用信息记录有关问题的通知》（财库〔2016〕125号）、江苏省财政厅《关于做好政府采购信用信息查询使用及登记等工作的通知》（苏财购〔2016〕50号）等文件精神，采购人在项目资格性审查时对参加本项目的各供应商进行信用记录查询，信用记录查询渠道为“信用中国”网站（www.creditchina.gov.cn）、中国政府采购网（www.ccgp.gov.cn）、“信用江苏”网站（http：//www.jscredit.gov.cn），信用记录查询截止时间为项目资格性审查结束时，信用信息查询记录及证据留存的具体方式为打印或网页截图。对存在失信信息的供应商（列入失信被执行人、重大税收违法案件当事人名单、政府采购严重违法失信行为记录名单及其他不符合《中华人民共和国政府采购法》第二十二条规定条件的供应商）应当拒绝其参与政府采购活动。</w:t>
      </w:r>
    </w:p>
    <w:p>
      <w:pPr>
        <w:pStyle w:val="4"/>
        <w:keepNext w:val="0"/>
        <w:keepLines w:val="0"/>
        <w:spacing w:before="0" w:after="0"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42、解释权</w:t>
      </w:r>
    </w:p>
    <w:p>
      <w:pPr>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42.1除相关法律、法规规定外，本磋商文件的解释权归扬中市人民医院所有。</w:t>
      </w:r>
    </w:p>
    <w:p>
      <w:pPr>
        <w:pStyle w:val="30"/>
        <w:tabs>
          <w:tab w:val="right" w:leader="dot" w:pos="9061"/>
        </w:tabs>
        <w:spacing w:line="360" w:lineRule="auto"/>
        <w:ind w:left="0" w:leftChars="0"/>
        <w:jc w:val="center"/>
        <w:outlineLvl w:val="0"/>
        <w:rPr>
          <w:rFonts w:ascii="仿宋" w:hAnsi="仿宋" w:eastAsia="仿宋" w:cs="仿宋"/>
          <w:color w:val="auto"/>
        </w:rPr>
      </w:pPr>
      <w:r>
        <w:rPr>
          <w:rFonts w:hint="eastAsia" w:ascii="仿宋" w:hAnsi="仿宋" w:eastAsia="仿宋" w:cs="仿宋"/>
          <w:b/>
          <w:color w:val="auto"/>
          <w:sz w:val="36"/>
        </w:rPr>
        <w:br w:type="page"/>
      </w:r>
      <w:bookmarkStart w:id="144" w:name="_Toc19042"/>
      <w:bookmarkStart w:id="145" w:name="_Toc105940853"/>
      <w:bookmarkStart w:id="146" w:name="_Toc105940935"/>
      <w:r>
        <w:rPr>
          <w:rStyle w:val="45"/>
          <w:rFonts w:hint="eastAsia" w:ascii="仿宋" w:hAnsi="仿宋" w:eastAsia="仿宋" w:cs="仿宋"/>
          <w:color w:val="auto"/>
          <w:szCs w:val="32"/>
        </w:rPr>
        <w:t>第三部分  合同</w:t>
      </w:r>
      <w:bookmarkEnd w:id="144"/>
    </w:p>
    <w:bookmarkEnd w:id="145"/>
    <w:bookmarkEnd w:id="146"/>
    <w:p>
      <w:pPr>
        <w:rPr>
          <w:rStyle w:val="45"/>
          <w:rFonts w:ascii="仿宋" w:hAnsi="仿宋" w:eastAsia="仿宋" w:cs="仿宋"/>
          <w:color w:val="auto"/>
          <w:szCs w:val="32"/>
        </w:rPr>
      </w:pPr>
      <w:bookmarkStart w:id="147" w:name="_Toc237516017"/>
      <w:bookmarkStart w:id="148" w:name="_Toc6030"/>
      <w:bookmarkStart w:id="149" w:name="_Toc105940854"/>
      <w:r>
        <w:rPr>
          <w:rStyle w:val="45"/>
          <w:rFonts w:hint="eastAsia" w:ascii="仿宋" w:hAnsi="仿宋" w:eastAsia="仿宋" w:cs="仿宋"/>
          <w:color w:val="auto"/>
          <w:szCs w:val="32"/>
        </w:rPr>
        <w:t>成交后以实际合同为准。</w:t>
      </w:r>
    </w:p>
    <w:p>
      <w:pPr>
        <w:rPr>
          <w:rStyle w:val="45"/>
          <w:rFonts w:ascii="仿宋" w:hAnsi="仿宋" w:eastAsia="仿宋" w:cs="仿宋"/>
          <w:color w:val="auto"/>
          <w:szCs w:val="32"/>
        </w:rPr>
      </w:pPr>
      <w:r>
        <w:rPr>
          <w:rStyle w:val="45"/>
          <w:rFonts w:hint="eastAsia" w:ascii="仿宋" w:hAnsi="仿宋" w:eastAsia="仿宋" w:cs="仿宋"/>
          <w:color w:val="auto"/>
          <w:szCs w:val="32"/>
        </w:rPr>
        <w:br w:type="page"/>
      </w:r>
    </w:p>
    <w:p>
      <w:pPr>
        <w:pStyle w:val="43"/>
        <w:rPr>
          <w:rFonts w:hint="eastAsia"/>
          <w:color w:val="auto"/>
        </w:rPr>
      </w:pPr>
    </w:p>
    <w:p>
      <w:pPr>
        <w:pStyle w:val="30"/>
        <w:tabs>
          <w:tab w:val="right" w:leader="dot" w:pos="9061"/>
        </w:tabs>
        <w:spacing w:line="360" w:lineRule="auto"/>
        <w:ind w:left="0" w:leftChars="0"/>
        <w:jc w:val="center"/>
        <w:outlineLvl w:val="0"/>
        <w:rPr>
          <w:rStyle w:val="45"/>
          <w:rFonts w:ascii="仿宋" w:hAnsi="仿宋" w:eastAsia="仿宋" w:cs="仿宋"/>
          <w:color w:val="auto"/>
          <w:szCs w:val="32"/>
        </w:rPr>
      </w:pPr>
      <w:r>
        <w:rPr>
          <w:rStyle w:val="45"/>
          <w:rFonts w:hint="eastAsia" w:ascii="仿宋" w:hAnsi="仿宋" w:eastAsia="仿宋" w:cs="仿宋"/>
          <w:color w:val="auto"/>
          <w:szCs w:val="32"/>
        </w:rPr>
        <w:t xml:space="preserve">第四部分 </w:t>
      </w:r>
      <w:bookmarkEnd w:id="147"/>
      <w:r>
        <w:rPr>
          <w:rStyle w:val="45"/>
          <w:rFonts w:hint="eastAsia" w:ascii="仿宋" w:hAnsi="仿宋" w:eastAsia="仿宋" w:cs="仿宋"/>
          <w:color w:val="auto"/>
          <w:szCs w:val="32"/>
        </w:rPr>
        <w:t xml:space="preserve"> 项目采购需求</w:t>
      </w:r>
      <w:bookmarkEnd w:id="148"/>
      <w:bookmarkEnd w:id="149"/>
    </w:p>
    <w:p>
      <w:pPr>
        <w:pStyle w:val="2"/>
        <w:keepNext w:val="0"/>
        <w:widowControl/>
        <w:tabs>
          <w:tab w:val="left" w:pos="426"/>
        </w:tabs>
        <w:spacing w:line="360" w:lineRule="auto"/>
        <w:rPr>
          <w:rFonts w:ascii="仿宋" w:hAnsi="仿宋" w:eastAsia="仿宋" w:cs="仿宋"/>
          <w:b/>
          <w:color w:val="auto"/>
          <w:sz w:val="24"/>
        </w:rPr>
      </w:pPr>
      <w:bookmarkStart w:id="150" w:name="_Toc105940862"/>
      <w:bookmarkStart w:id="151" w:name="_Toc10005"/>
      <w:r>
        <w:rPr>
          <w:rFonts w:hint="eastAsia" w:ascii="仿宋" w:hAnsi="仿宋" w:eastAsia="仿宋" w:cs="仿宋"/>
          <w:b/>
          <w:color w:val="auto"/>
          <w:sz w:val="24"/>
        </w:rPr>
        <w:t>一、项目概况</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1、需求：为加强扬中市人民医院职工福利体系建设，降低本院职工健康风险，有效保障职工健康安全，本次将通过竞争性磋商方式确定扬中市人民医院职工补充商业保险机构。</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2、保障对象：扬中市人民医院职工（约</w:t>
      </w:r>
      <w:r>
        <w:rPr>
          <w:rFonts w:hint="eastAsia" w:ascii="仿宋" w:hAnsi="仿宋" w:eastAsia="仿宋" w:cs="仿宋"/>
          <w:color w:val="auto"/>
          <w:sz w:val="24"/>
          <w:lang w:eastAsia="zh-CN"/>
        </w:rPr>
        <w:t>1020</w:t>
      </w:r>
      <w:r>
        <w:rPr>
          <w:rFonts w:hint="eastAsia" w:ascii="仿宋" w:hAnsi="仿宋" w:eastAsia="仿宋" w:cs="仿宋"/>
          <w:color w:val="auto"/>
          <w:sz w:val="24"/>
        </w:rPr>
        <w:t>人，以实际清单为准）。</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3、保障项目：团体重大疾病保险金。</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4、合同履行期限：一年。</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5、本项目不接受联合体。</w:t>
      </w:r>
    </w:p>
    <w:p>
      <w:pPr>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rPr>
        <w:t>二、保障内容</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1.保障对象：医院职工约</w:t>
      </w:r>
      <w:r>
        <w:rPr>
          <w:rFonts w:hint="eastAsia" w:ascii="仿宋" w:hAnsi="仿宋" w:eastAsia="仿宋" w:cs="仿宋"/>
          <w:color w:val="auto"/>
          <w:sz w:val="24"/>
          <w:lang w:eastAsia="zh-CN"/>
        </w:rPr>
        <w:t>1020</w:t>
      </w:r>
      <w:r>
        <w:rPr>
          <w:rFonts w:hint="eastAsia" w:ascii="仿宋" w:hAnsi="仿宋" w:eastAsia="仿宋" w:cs="仿宋"/>
          <w:color w:val="auto"/>
          <w:sz w:val="24"/>
        </w:rPr>
        <w:t>人</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2.保险期间：自合同签订起一年 </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3.保障项目：</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重大疾病保险金</w:t>
      </w:r>
      <w:r>
        <w:rPr>
          <w:rFonts w:hint="eastAsia" w:ascii="仿宋" w:hAnsi="仿宋" w:eastAsia="仿宋" w:cs="仿宋"/>
          <w:color w:val="auto"/>
          <w:sz w:val="24"/>
          <w:lang w:eastAsia="zh-CN"/>
        </w:rPr>
        <w:t>不低于</w:t>
      </w:r>
      <w:r>
        <w:rPr>
          <w:rFonts w:hint="eastAsia" w:ascii="仿宋" w:hAnsi="仿宋" w:eastAsia="仿宋" w:cs="仿宋"/>
          <w:color w:val="auto"/>
          <w:sz w:val="24"/>
        </w:rPr>
        <w:t>5万</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意外</w:t>
      </w:r>
      <w:r>
        <w:rPr>
          <w:rFonts w:hint="eastAsia" w:ascii="仿宋" w:hAnsi="仿宋" w:eastAsia="仿宋" w:cs="仿宋"/>
          <w:color w:val="auto"/>
          <w:sz w:val="24"/>
        </w:rPr>
        <w:t>住院津贴赔付</w:t>
      </w:r>
      <w:r>
        <w:rPr>
          <w:rFonts w:hint="eastAsia" w:ascii="仿宋" w:hAnsi="仿宋" w:eastAsia="仿宋" w:cs="仿宋"/>
          <w:color w:val="auto"/>
          <w:sz w:val="24"/>
          <w:lang w:eastAsia="zh-CN"/>
        </w:rPr>
        <w:t>不低于</w:t>
      </w:r>
      <w:r>
        <w:rPr>
          <w:rFonts w:hint="eastAsia" w:ascii="仿宋" w:hAnsi="仿宋" w:eastAsia="仿宋" w:cs="仿宋"/>
          <w:color w:val="auto"/>
          <w:sz w:val="24"/>
        </w:rPr>
        <w:t> 1.44万</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4.保险责任</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）重大疾病保险责任</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在保险期间内，医院职工经符合保险合同释义约定的医院初次确诊罹患保险合同释义规定的重大疾病的，承保公司按重大疾病保险金额给付重大疾病保险金。</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（2）意外住院津贴</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在保险期间内，医院职工因遭受意外伤害，而在医院进行住院治疗的，承保公司就被保险人的合理住院天数，按照保险单载明的住院津贴日额给付“意外住院津贴保险金”。</w:t>
      </w:r>
    </w:p>
    <w:p>
      <w:pPr>
        <w:adjustRightInd w:val="0"/>
        <w:snapToGrid w:val="0"/>
        <w:spacing w:line="360" w:lineRule="auto"/>
        <w:rPr>
          <w:rFonts w:ascii="仿宋" w:hAnsi="仿宋" w:eastAsia="仿宋" w:cs="仿宋"/>
          <w:color w:val="auto"/>
          <w:sz w:val="24"/>
        </w:rPr>
      </w:pPr>
      <w:r>
        <w:rPr>
          <w:rFonts w:hint="eastAsia" w:ascii="仿宋" w:hAnsi="仿宋" w:eastAsia="仿宋" w:cs="仿宋"/>
          <w:b/>
          <w:color w:val="auto"/>
          <w:sz w:val="24"/>
        </w:rPr>
        <w:t>三、服务要求：</w:t>
      </w:r>
      <w:r>
        <w:rPr>
          <w:rFonts w:hint="eastAsia" w:ascii="仿宋" w:hAnsi="仿宋" w:eastAsia="仿宋" w:cs="仿宋"/>
          <w:b/>
          <w:color w:val="auto"/>
          <w:sz w:val="24"/>
        </w:rPr>
        <w:br w:type="textWrapping"/>
      </w:r>
      <w:r>
        <w:rPr>
          <w:rFonts w:hint="eastAsia" w:ascii="仿宋" w:hAnsi="仿宋" w:eastAsia="仿宋" w:cs="仿宋"/>
          <w:b/>
          <w:color w:val="auto"/>
          <w:sz w:val="24"/>
        </w:rPr>
        <w:t xml:space="preserve">   </w:t>
      </w:r>
      <w:r>
        <w:rPr>
          <w:rFonts w:hint="eastAsia" w:ascii="仿宋" w:hAnsi="仿宋" w:eastAsia="仿宋" w:cs="仿宋"/>
          <w:color w:val="auto"/>
          <w:sz w:val="24"/>
        </w:rPr>
        <w:t>1.本项目服务期为合同签订起一年，重大疾病无等待期，承保人员均无需提供健康告知，重疾责任以疾病确诊日期为准。（成交单位自愿将起保时间与上年度本保险项目结束时间无缝衔接）</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2.供应商在接到报案通知或索赔通知立即响应，城区内30分钟到现场查勘并解决问题，乡镇2小时内到现场查勘并解决问题，市外自行或委托相关机构12小时内到现场查勘并解决问题。</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3.定期、按时向医院提供保险理赔情况报表。</w:t>
      </w:r>
    </w:p>
    <w:p>
      <w:pPr>
        <w:rPr>
          <w:rStyle w:val="45"/>
          <w:rFonts w:ascii="仿宋" w:hAnsi="仿宋" w:eastAsia="仿宋" w:cs="仿宋"/>
          <w:color w:val="auto"/>
          <w:szCs w:val="32"/>
        </w:rPr>
      </w:pPr>
      <w:r>
        <w:rPr>
          <w:rStyle w:val="45"/>
          <w:rFonts w:hint="eastAsia" w:ascii="仿宋" w:hAnsi="仿宋" w:eastAsia="仿宋" w:cs="仿宋"/>
          <w:color w:val="auto"/>
          <w:szCs w:val="32"/>
        </w:rPr>
        <w:br w:type="page"/>
      </w:r>
    </w:p>
    <w:p>
      <w:pPr>
        <w:pStyle w:val="30"/>
        <w:tabs>
          <w:tab w:val="right" w:leader="dot" w:pos="9061"/>
        </w:tabs>
        <w:spacing w:line="360" w:lineRule="auto"/>
        <w:ind w:left="0" w:leftChars="0"/>
        <w:jc w:val="center"/>
        <w:outlineLvl w:val="0"/>
        <w:rPr>
          <w:rStyle w:val="45"/>
          <w:rFonts w:ascii="仿宋" w:hAnsi="仿宋" w:eastAsia="仿宋" w:cs="仿宋"/>
          <w:color w:val="auto"/>
          <w:szCs w:val="32"/>
        </w:rPr>
      </w:pPr>
      <w:r>
        <w:rPr>
          <w:rStyle w:val="45"/>
          <w:rFonts w:hint="eastAsia" w:ascii="仿宋" w:hAnsi="仿宋" w:eastAsia="仿宋" w:cs="仿宋"/>
          <w:color w:val="auto"/>
          <w:szCs w:val="32"/>
        </w:rPr>
        <w:t>第五部分  磋商响应文件（格式）</w:t>
      </w:r>
      <w:bookmarkEnd w:id="150"/>
      <w:bookmarkEnd w:id="151"/>
    </w:p>
    <w:p>
      <w:pPr>
        <w:jc w:val="center"/>
        <w:rPr>
          <w:rFonts w:ascii="仿宋" w:hAnsi="仿宋" w:eastAsia="仿宋" w:cs="仿宋"/>
          <w:color w:val="auto"/>
          <w:sz w:val="28"/>
        </w:rPr>
      </w:pPr>
    </w:p>
    <w:p>
      <w:pPr>
        <w:jc w:val="center"/>
        <w:rPr>
          <w:rFonts w:ascii="仿宋" w:hAnsi="仿宋" w:eastAsia="仿宋" w:cs="仿宋"/>
          <w:color w:val="auto"/>
          <w:sz w:val="28"/>
        </w:rPr>
      </w:pPr>
    </w:p>
    <w:p>
      <w:pPr>
        <w:jc w:val="center"/>
        <w:rPr>
          <w:rFonts w:ascii="仿宋" w:hAnsi="仿宋" w:eastAsia="仿宋" w:cs="仿宋"/>
          <w:color w:val="auto"/>
          <w:sz w:val="28"/>
        </w:rPr>
      </w:pPr>
    </w:p>
    <w:p>
      <w:pPr>
        <w:spacing w:line="360" w:lineRule="auto"/>
        <w:jc w:val="center"/>
        <w:rPr>
          <w:rFonts w:ascii="仿宋" w:hAnsi="仿宋" w:eastAsia="仿宋" w:cs="仿宋"/>
          <w:b/>
          <w:color w:val="auto"/>
          <w:sz w:val="56"/>
          <w:szCs w:val="56"/>
        </w:rPr>
      </w:pPr>
    </w:p>
    <w:p>
      <w:pPr>
        <w:spacing w:line="360" w:lineRule="auto"/>
        <w:jc w:val="center"/>
        <w:rPr>
          <w:rFonts w:ascii="仿宋" w:hAnsi="仿宋" w:eastAsia="仿宋" w:cs="仿宋"/>
          <w:color w:val="auto"/>
          <w:sz w:val="56"/>
          <w:szCs w:val="56"/>
        </w:rPr>
      </w:pPr>
      <w:r>
        <w:rPr>
          <w:rFonts w:hint="eastAsia" w:ascii="仿宋" w:hAnsi="仿宋" w:eastAsia="仿宋" w:cs="仿宋"/>
          <w:b/>
          <w:color w:val="auto"/>
          <w:sz w:val="56"/>
          <w:szCs w:val="56"/>
        </w:rPr>
        <w:t>磋 商 响 应 文 件</w:t>
      </w:r>
    </w:p>
    <w:p>
      <w:pPr>
        <w:jc w:val="center"/>
        <w:rPr>
          <w:rFonts w:ascii="仿宋" w:hAnsi="仿宋" w:eastAsia="仿宋" w:cs="仿宋"/>
          <w:b/>
          <w:color w:val="auto"/>
          <w:sz w:val="36"/>
        </w:rPr>
      </w:pPr>
    </w:p>
    <w:p>
      <w:pPr>
        <w:ind w:firstLine="790" w:firstLineChars="246"/>
        <w:rPr>
          <w:rFonts w:ascii="仿宋" w:hAnsi="仿宋" w:eastAsia="仿宋" w:cs="仿宋"/>
          <w:b/>
          <w:color w:val="auto"/>
          <w:sz w:val="32"/>
        </w:rPr>
      </w:pPr>
    </w:p>
    <w:p>
      <w:pPr>
        <w:jc w:val="center"/>
        <w:rPr>
          <w:rFonts w:ascii="仿宋" w:hAnsi="仿宋" w:eastAsia="仿宋" w:cs="仿宋"/>
          <w:b/>
          <w:color w:val="auto"/>
          <w:sz w:val="32"/>
        </w:rPr>
      </w:pPr>
    </w:p>
    <w:p>
      <w:pPr>
        <w:jc w:val="center"/>
        <w:rPr>
          <w:rFonts w:ascii="仿宋" w:hAnsi="仿宋" w:eastAsia="仿宋" w:cs="仿宋"/>
          <w:b/>
          <w:color w:val="auto"/>
          <w:sz w:val="32"/>
        </w:rPr>
      </w:pPr>
    </w:p>
    <w:p>
      <w:pPr>
        <w:jc w:val="center"/>
        <w:rPr>
          <w:rFonts w:ascii="仿宋" w:hAnsi="仿宋" w:eastAsia="仿宋" w:cs="仿宋"/>
          <w:b/>
          <w:color w:val="auto"/>
          <w:sz w:val="32"/>
        </w:rPr>
      </w:pPr>
    </w:p>
    <w:p>
      <w:pPr>
        <w:pStyle w:val="13"/>
        <w:rPr>
          <w:rFonts w:ascii="仿宋" w:hAnsi="仿宋" w:eastAsia="仿宋" w:cs="仿宋"/>
          <w:color w:val="auto"/>
        </w:rPr>
      </w:pPr>
    </w:p>
    <w:p>
      <w:pPr>
        <w:pStyle w:val="13"/>
        <w:rPr>
          <w:rFonts w:ascii="仿宋" w:hAnsi="仿宋" w:eastAsia="仿宋" w:cs="仿宋"/>
          <w:color w:val="auto"/>
        </w:rPr>
      </w:pPr>
    </w:p>
    <w:p>
      <w:pPr>
        <w:jc w:val="center"/>
        <w:rPr>
          <w:rFonts w:ascii="仿宋" w:hAnsi="仿宋" w:eastAsia="仿宋" w:cs="仿宋"/>
          <w:b/>
          <w:color w:val="auto"/>
          <w:sz w:val="32"/>
        </w:rPr>
      </w:pPr>
    </w:p>
    <w:p>
      <w:pPr>
        <w:jc w:val="center"/>
        <w:rPr>
          <w:rFonts w:ascii="仿宋" w:hAnsi="仿宋" w:eastAsia="仿宋" w:cs="仿宋"/>
          <w:color w:val="auto"/>
          <w:sz w:val="28"/>
        </w:rPr>
      </w:pPr>
    </w:p>
    <w:p>
      <w:pPr>
        <w:jc w:val="left"/>
        <w:rPr>
          <w:rFonts w:ascii="仿宋" w:hAnsi="仿宋" w:eastAsia="仿宋" w:cs="仿宋"/>
          <w:b/>
          <w:color w:val="auto"/>
          <w:sz w:val="32"/>
          <w:szCs w:val="32"/>
        </w:rPr>
      </w:pPr>
      <w:r>
        <w:rPr>
          <w:rFonts w:hint="eastAsia" w:ascii="仿宋" w:hAnsi="仿宋" w:eastAsia="仿宋" w:cs="仿宋"/>
          <w:b/>
          <w:color w:val="auto"/>
          <w:sz w:val="32"/>
        </w:rPr>
        <w:t>项目名称:扬中市人民医院团体重大疾病保险服务采购项目</w:t>
      </w:r>
    </w:p>
    <w:p>
      <w:pPr>
        <w:jc w:val="center"/>
        <w:rPr>
          <w:rFonts w:ascii="仿宋" w:hAnsi="仿宋" w:eastAsia="仿宋" w:cs="仿宋"/>
          <w:b/>
          <w:color w:val="auto"/>
          <w:sz w:val="32"/>
        </w:rPr>
      </w:pPr>
    </w:p>
    <w:p>
      <w:pPr>
        <w:jc w:val="center"/>
        <w:rPr>
          <w:rFonts w:ascii="仿宋" w:hAnsi="仿宋" w:eastAsia="仿宋" w:cs="仿宋"/>
          <w:b/>
          <w:color w:val="auto"/>
          <w:sz w:val="32"/>
        </w:rPr>
      </w:pPr>
    </w:p>
    <w:p>
      <w:pPr>
        <w:pStyle w:val="13"/>
        <w:rPr>
          <w:rFonts w:ascii="仿宋" w:hAnsi="仿宋" w:eastAsia="仿宋" w:cs="仿宋"/>
          <w:color w:val="auto"/>
        </w:rPr>
      </w:pPr>
    </w:p>
    <w:p>
      <w:pPr>
        <w:pStyle w:val="13"/>
        <w:rPr>
          <w:rFonts w:ascii="仿宋" w:hAnsi="仿宋" w:eastAsia="仿宋" w:cs="仿宋"/>
          <w:color w:val="auto"/>
        </w:rPr>
      </w:pPr>
    </w:p>
    <w:p>
      <w:pPr>
        <w:pStyle w:val="13"/>
        <w:rPr>
          <w:rFonts w:ascii="仿宋" w:hAnsi="仿宋" w:eastAsia="仿宋" w:cs="仿宋"/>
          <w:b/>
          <w:color w:val="auto"/>
        </w:rPr>
      </w:pPr>
    </w:p>
    <w:p>
      <w:pPr>
        <w:pStyle w:val="13"/>
        <w:rPr>
          <w:rFonts w:ascii="仿宋" w:hAnsi="仿宋" w:eastAsia="仿宋" w:cs="仿宋"/>
          <w:b/>
          <w:color w:val="auto"/>
        </w:rPr>
      </w:pPr>
    </w:p>
    <w:p>
      <w:pPr>
        <w:spacing w:line="360" w:lineRule="auto"/>
        <w:ind w:firstLine="2554" w:firstLineChars="795"/>
        <w:rPr>
          <w:rFonts w:ascii="仿宋" w:hAnsi="仿宋" w:eastAsia="仿宋" w:cs="仿宋"/>
          <w:b/>
          <w:color w:val="auto"/>
          <w:sz w:val="32"/>
          <w:szCs w:val="32"/>
        </w:rPr>
      </w:pPr>
      <w:r>
        <w:rPr>
          <w:rFonts w:hint="eastAsia" w:ascii="仿宋" w:hAnsi="仿宋" w:eastAsia="仿宋" w:cs="仿宋"/>
          <w:b/>
          <w:color w:val="auto"/>
          <w:sz w:val="32"/>
          <w:szCs w:val="32"/>
        </w:rPr>
        <w:t>供应商：（公章）</w:t>
      </w:r>
    </w:p>
    <w:p>
      <w:pPr>
        <w:spacing w:line="360" w:lineRule="auto"/>
        <w:ind w:firstLine="2554" w:firstLineChars="795"/>
        <w:rPr>
          <w:rFonts w:ascii="仿宋" w:hAnsi="仿宋" w:eastAsia="仿宋" w:cs="仿宋"/>
          <w:b/>
          <w:color w:val="auto"/>
          <w:sz w:val="32"/>
          <w:szCs w:val="32"/>
        </w:rPr>
      </w:pPr>
      <w:r>
        <w:rPr>
          <w:rFonts w:hint="eastAsia" w:ascii="仿宋" w:hAnsi="仿宋" w:eastAsia="仿宋" w:cs="仿宋"/>
          <w:b/>
          <w:color w:val="auto"/>
          <w:sz w:val="32"/>
          <w:szCs w:val="32"/>
        </w:rPr>
        <w:t>日期：2026年 月 日</w:t>
      </w:r>
    </w:p>
    <w:p>
      <w:pPr>
        <w:pStyle w:val="13"/>
        <w:rPr>
          <w:rFonts w:ascii="仿宋" w:hAnsi="仿宋" w:eastAsia="仿宋" w:cs="仿宋"/>
          <w:color w:val="auto"/>
        </w:rPr>
      </w:pPr>
    </w:p>
    <w:p>
      <w:pPr>
        <w:jc w:val="center"/>
        <w:rPr>
          <w:rFonts w:ascii="仿宋" w:hAnsi="仿宋" w:eastAsia="仿宋" w:cs="仿宋"/>
          <w:b/>
          <w:color w:val="auto"/>
          <w:sz w:val="32"/>
        </w:rPr>
      </w:pPr>
    </w:p>
    <w:p>
      <w:pPr>
        <w:pStyle w:val="3"/>
        <w:spacing w:line="240" w:lineRule="auto"/>
        <w:rPr>
          <w:rFonts w:ascii="仿宋" w:hAnsi="仿宋" w:eastAsia="仿宋" w:cs="仿宋"/>
          <w:color w:val="auto"/>
          <w:sz w:val="30"/>
          <w:szCs w:val="30"/>
        </w:rPr>
      </w:pPr>
      <w:r>
        <w:rPr>
          <w:rFonts w:hint="eastAsia" w:ascii="仿宋" w:hAnsi="仿宋" w:eastAsia="仿宋" w:cs="仿宋"/>
          <w:color w:val="auto"/>
          <w:sz w:val="32"/>
        </w:rPr>
        <w:br w:type="page"/>
      </w:r>
      <w:bookmarkStart w:id="152" w:name="_Toc105940945"/>
      <w:bookmarkStart w:id="153" w:name="_Toc105940863"/>
      <w:r>
        <w:rPr>
          <w:rFonts w:hint="eastAsia" w:ascii="仿宋" w:hAnsi="仿宋" w:eastAsia="仿宋" w:cs="仿宋"/>
          <w:bCs/>
          <w:color w:val="auto"/>
          <w:sz w:val="30"/>
          <w:szCs w:val="30"/>
        </w:rPr>
        <w:t>一、磋商承诺函（格式）</w:t>
      </w:r>
      <w:bookmarkEnd w:id="152"/>
      <w:bookmarkEnd w:id="153"/>
    </w:p>
    <w:p>
      <w:pPr>
        <w:spacing w:line="360" w:lineRule="auto"/>
        <w:rPr>
          <w:rFonts w:ascii="仿宋" w:hAnsi="仿宋" w:eastAsia="仿宋" w:cs="仿宋"/>
          <w:b/>
          <w:bCs/>
          <w:color w:val="auto"/>
          <w:sz w:val="24"/>
        </w:rPr>
      </w:pPr>
      <w:r>
        <w:rPr>
          <w:rFonts w:hint="eastAsia" w:ascii="仿宋" w:hAnsi="仿宋" w:eastAsia="仿宋" w:cs="仿宋"/>
          <w:b/>
          <w:bCs/>
          <w:color w:val="auto"/>
          <w:sz w:val="24"/>
        </w:rPr>
        <w:t>致：扬中市人民医院</w:t>
      </w:r>
    </w:p>
    <w:p>
      <w:pPr>
        <w:spacing w:line="360" w:lineRule="auto"/>
        <w:ind w:firstLine="456" w:firstLineChars="200"/>
        <w:rPr>
          <w:rFonts w:ascii="仿宋" w:hAnsi="仿宋" w:eastAsia="仿宋" w:cs="仿宋"/>
          <w:color w:val="auto"/>
          <w:spacing w:val="-6"/>
          <w:sz w:val="24"/>
        </w:rPr>
      </w:pPr>
      <w:r>
        <w:rPr>
          <w:rFonts w:hint="eastAsia" w:ascii="仿宋" w:hAnsi="仿宋" w:eastAsia="仿宋" w:cs="仿宋"/>
          <w:color w:val="auto"/>
          <w:spacing w:val="-6"/>
          <w:sz w:val="24"/>
        </w:rPr>
        <w:t>根据贵方关于</w:t>
      </w:r>
      <w:r>
        <w:rPr>
          <w:rFonts w:hint="eastAsia" w:ascii="仿宋" w:hAnsi="仿宋" w:eastAsia="仿宋" w:cs="仿宋"/>
          <w:color w:val="auto"/>
          <w:spacing w:val="-6"/>
          <w:sz w:val="24"/>
          <w:u w:val="single"/>
        </w:rPr>
        <w:t xml:space="preserve">           </w:t>
      </w:r>
      <w:r>
        <w:rPr>
          <w:rFonts w:hint="eastAsia" w:ascii="仿宋" w:hAnsi="仿宋" w:eastAsia="仿宋" w:cs="仿宋"/>
          <w:color w:val="auto"/>
          <w:spacing w:val="-6"/>
          <w:sz w:val="24"/>
        </w:rPr>
        <w:t>项目名称（项目编号：</w:t>
      </w:r>
      <w:r>
        <w:rPr>
          <w:rFonts w:hint="eastAsia" w:ascii="仿宋" w:hAnsi="仿宋" w:eastAsia="仿宋" w:cs="仿宋"/>
          <w:color w:val="auto"/>
          <w:spacing w:val="-6"/>
          <w:sz w:val="24"/>
          <w:u w:val="single"/>
        </w:rPr>
        <w:t xml:space="preserve">           </w:t>
      </w:r>
      <w:r>
        <w:rPr>
          <w:rFonts w:hint="eastAsia" w:ascii="仿宋" w:hAnsi="仿宋" w:eastAsia="仿宋" w:cs="仿宋"/>
          <w:color w:val="auto"/>
          <w:spacing w:val="-6"/>
          <w:sz w:val="24"/>
        </w:rPr>
        <w:t>）的磋商邀请，我方已完全理解磋商文件的所有内容。</w:t>
      </w:r>
    </w:p>
    <w:p>
      <w:pPr>
        <w:spacing w:line="360" w:lineRule="auto"/>
        <w:ind w:firstLine="456" w:firstLineChars="200"/>
        <w:rPr>
          <w:rFonts w:ascii="仿宋" w:hAnsi="仿宋" w:eastAsia="仿宋" w:cs="仿宋"/>
          <w:color w:val="auto"/>
          <w:spacing w:val="-6"/>
          <w:sz w:val="24"/>
        </w:rPr>
      </w:pPr>
      <w:r>
        <w:rPr>
          <w:rFonts w:hint="eastAsia" w:ascii="仿宋" w:hAnsi="仿宋" w:eastAsia="仿宋" w:cs="仿宋"/>
          <w:color w:val="auto"/>
          <w:spacing w:val="-6"/>
          <w:sz w:val="24"/>
        </w:rPr>
        <w:t>据此函，我方兹宣布同意如下：</w:t>
      </w:r>
    </w:p>
    <w:p>
      <w:pPr>
        <w:spacing w:line="360" w:lineRule="auto"/>
        <w:ind w:firstLine="456" w:firstLineChars="200"/>
        <w:rPr>
          <w:rFonts w:ascii="仿宋" w:hAnsi="仿宋" w:eastAsia="仿宋" w:cs="仿宋"/>
          <w:color w:val="auto"/>
          <w:spacing w:val="-6"/>
          <w:sz w:val="24"/>
        </w:rPr>
      </w:pPr>
      <w:r>
        <w:rPr>
          <w:rFonts w:hint="eastAsia" w:ascii="仿宋" w:hAnsi="仿宋" w:eastAsia="仿宋" w:cs="仿宋"/>
          <w:color w:val="auto"/>
          <w:spacing w:val="-6"/>
          <w:sz w:val="24"/>
        </w:rPr>
        <w:t>1.我方承诺：我方完全具备《中华人民共和国政府采购法》第二十二条第一款规定的条件以及本项目磋商文件规定的参加磋商供应商须满足的特定条件。</w:t>
      </w:r>
    </w:p>
    <w:p>
      <w:pPr>
        <w:spacing w:line="360" w:lineRule="auto"/>
        <w:ind w:firstLine="456" w:firstLineChars="200"/>
        <w:rPr>
          <w:rFonts w:ascii="仿宋" w:hAnsi="仿宋" w:eastAsia="仿宋" w:cs="仿宋"/>
          <w:color w:val="auto"/>
          <w:spacing w:val="-6"/>
          <w:sz w:val="24"/>
        </w:rPr>
      </w:pPr>
      <w:r>
        <w:rPr>
          <w:rFonts w:hint="eastAsia" w:ascii="仿宋" w:hAnsi="仿宋" w:eastAsia="仿宋" w:cs="仿宋"/>
          <w:color w:val="auto"/>
          <w:spacing w:val="-6"/>
          <w:sz w:val="24"/>
        </w:rPr>
        <w:t>2.我方承诺：参加本次采购活动前三年内，在经营活动中没有重大违法记录。</w:t>
      </w:r>
    </w:p>
    <w:p>
      <w:pPr>
        <w:spacing w:line="360" w:lineRule="auto"/>
        <w:ind w:firstLine="456" w:firstLineChars="200"/>
        <w:rPr>
          <w:rFonts w:ascii="仿宋" w:hAnsi="仿宋" w:eastAsia="仿宋" w:cs="仿宋"/>
          <w:color w:val="auto"/>
          <w:spacing w:val="-6"/>
          <w:sz w:val="24"/>
        </w:rPr>
      </w:pPr>
      <w:r>
        <w:rPr>
          <w:rFonts w:hint="eastAsia" w:ascii="仿宋" w:hAnsi="仿宋" w:eastAsia="仿宋" w:cs="仿宋"/>
          <w:color w:val="auto"/>
          <w:spacing w:val="-6"/>
          <w:sz w:val="24"/>
        </w:rPr>
        <w:t xml:space="preserve">3.我方承诺：我方信用记录中没有被列入失信被执行人、没有被列入重大税收违法案件名单、没有被列入政府采购违法失信行为记录名单。 </w:t>
      </w:r>
    </w:p>
    <w:p>
      <w:pPr>
        <w:spacing w:line="360" w:lineRule="auto"/>
        <w:ind w:firstLine="456" w:firstLineChars="200"/>
        <w:rPr>
          <w:rFonts w:ascii="仿宋" w:hAnsi="仿宋" w:eastAsia="仿宋" w:cs="仿宋"/>
          <w:color w:val="auto"/>
          <w:spacing w:val="-6"/>
          <w:sz w:val="24"/>
        </w:rPr>
      </w:pPr>
      <w:r>
        <w:rPr>
          <w:rFonts w:hint="eastAsia" w:ascii="仿宋" w:hAnsi="仿宋" w:eastAsia="仿宋" w:cs="仿宋"/>
          <w:color w:val="auto"/>
          <w:spacing w:val="-6"/>
          <w:sz w:val="24"/>
        </w:rPr>
        <w:t>4.我方承诺按磋商文件要求提供的服务的磋商报价见报价一览表。</w:t>
      </w:r>
    </w:p>
    <w:p>
      <w:pPr>
        <w:spacing w:line="360" w:lineRule="auto"/>
        <w:ind w:firstLine="456" w:firstLineChars="200"/>
        <w:rPr>
          <w:rFonts w:ascii="仿宋" w:hAnsi="仿宋" w:eastAsia="仿宋" w:cs="仿宋"/>
          <w:color w:val="auto"/>
          <w:spacing w:val="-6"/>
          <w:sz w:val="24"/>
        </w:rPr>
      </w:pPr>
      <w:r>
        <w:rPr>
          <w:rFonts w:hint="eastAsia" w:ascii="仿宋" w:hAnsi="仿宋" w:eastAsia="仿宋" w:cs="仿宋"/>
          <w:color w:val="auto"/>
          <w:spacing w:val="-6"/>
          <w:sz w:val="24"/>
        </w:rPr>
        <w:t xml:space="preserve">5.我方承诺根据磋商文件的规定，完成合同义务，并承担责任（如有偏离，在响应文件中另作说明）。 </w:t>
      </w:r>
    </w:p>
    <w:p>
      <w:pPr>
        <w:spacing w:line="360" w:lineRule="auto"/>
        <w:ind w:firstLine="456" w:firstLineChars="200"/>
        <w:rPr>
          <w:rFonts w:ascii="仿宋" w:hAnsi="仿宋" w:eastAsia="仿宋" w:cs="仿宋"/>
          <w:color w:val="auto"/>
          <w:spacing w:val="-6"/>
          <w:sz w:val="24"/>
        </w:rPr>
      </w:pPr>
      <w:r>
        <w:rPr>
          <w:rFonts w:hint="eastAsia" w:ascii="仿宋" w:hAnsi="仿宋" w:eastAsia="仿宋" w:cs="仿宋"/>
          <w:color w:val="auto"/>
          <w:spacing w:val="-6"/>
          <w:sz w:val="24"/>
        </w:rPr>
        <w:t xml:space="preserve">7.我方已详读全部磋商文件，包括磋商文件书面修改通知（如有），我方完全理解并同意放弃对这方面不明及误解的权利。 </w:t>
      </w:r>
    </w:p>
    <w:p>
      <w:pPr>
        <w:spacing w:line="360" w:lineRule="auto"/>
        <w:ind w:firstLine="456" w:firstLineChars="200"/>
        <w:rPr>
          <w:rFonts w:ascii="仿宋" w:hAnsi="仿宋" w:eastAsia="仿宋" w:cs="仿宋"/>
          <w:color w:val="auto"/>
          <w:spacing w:val="-6"/>
          <w:sz w:val="24"/>
        </w:rPr>
      </w:pPr>
      <w:r>
        <w:rPr>
          <w:rFonts w:hint="eastAsia" w:ascii="仿宋" w:hAnsi="仿宋" w:eastAsia="仿宋" w:cs="仿宋"/>
          <w:color w:val="auto"/>
          <w:spacing w:val="-6"/>
          <w:sz w:val="24"/>
        </w:rPr>
        <w:t xml:space="preserve">8.我方承诺响应文件及所有材料的完整、真实、合法、有效，并对其负责。承诺在磋商期间，如磋商小组对我方提出澄清要求，将及时作出响应，否则自行承担后果。 </w:t>
      </w:r>
    </w:p>
    <w:p>
      <w:pPr>
        <w:spacing w:line="360" w:lineRule="auto"/>
        <w:ind w:firstLine="456" w:firstLineChars="200"/>
        <w:rPr>
          <w:rFonts w:ascii="仿宋" w:hAnsi="仿宋" w:eastAsia="仿宋" w:cs="仿宋"/>
          <w:color w:val="auto"/>
          <w:spacing w:val="-6"/>
          <w:sz w:val="24"/>
        </w:rPr>
      </w:pPr>
      <w:r>
        <w:rPr>
          <w:rFonts w:hint="eastAsia" w:ascii="仿宋" w:hAnsi="仿宋" w:eastAsia="仿宋" w:cs="仿宋"/>
          <w:color w:val="auto"/>
          <w:spacing w:val="-6"/>
          <w:sz w:val="24"/>
        </w:rPr>
        <w:t xml:space="preserve">9.我方同意从规定的磋商日期起遵循本磋商文件，并在规定的磋商有效期期满之前均具有约束力。 </w:t>
      </w:r>
    </w:p>
    <w:p>
      <w:pPr>
        <w:spacing w:line="360" w:lineRule="auto"/>
        <w:ind w:firstLine="456" w:firstLineChars="200"/>
        <w:rPr>
          <w:rFonts w:ascii="仿宋" w:hAnsi="仿宋" w:eastAsia="仿宋" w:cs="仿宋"/>
          <w:color w:val="auto"/>
          <w:spacing w:val="-6"/>
          <w:sz w:val="24"/>
        </w:rPr>
      </w:pPr>
      <w:r>
        <w:rPr>
          <w:rFonts w:hint="eastAsia" w:ascii="仿宋" w:hAnsi="仿宋" w:eastAsia="仿宋" w:cs="仿宋"/>
          <w:color w:val="auto"/>
          <w:spacing w:val="-6"/>
          <w:sz w:val="24"/>
        </w:rPr>
        <w:t xml:space="preserve">10.我方同意向贵方提供贵方可能要求的与本磋商有关的任何证据或资料。 </w:t>
      </w:r>
    </w:p>
    <w:p>
      <w:pPr>
        <w:spacing w:line="360" w:lineRule="auto"/>
        <w:ind w:firstLine="456" w:firstLineChars="200"/>
        <w:rPr>
          <w:rFonts w:ascii="仿宋" w:hAnsi="仿宋" w:eastAsia="仿宋" w:cs="仿宋"/>
          <w:color w:val="auto"/>
          <w:spacing w:val="-6"/>
          <w:sz w:val="24"/>
        </w:rPr>
      </w:pPr>
      <w:r>
        <w:rPr>
          <w:rFonts w:hint="eastAsia" w:ascii="仿宋" w:hAnsi="仿宋" w:eastAsia="仿宋" w:cs="仿宋"/>
          <w:color w:val="auto"/>
          <w:spacing w:val="-6"/>
          <w:sz w:val="24"/>
        </w:rPr>
        <w:t xml:space="preserve">11.我方知道如用虚假材料或恶意方式向贵方提出质疑，将承担相应的法律责任。同时承诺：我方如果有上述行为，将无条件承担贵方相关的调查论证费用。 </w:t>
      </w:r>
    </w:p>
    <w:p>
      <w:pPr>
        <w:spacing w:line="360" w:lineRule="auto"/>
        <w:ind w:firstLine="456" w:firstLineChars="200"/>
        <w:rPr>
          <w:rFonts w:ascii="仿宋" w:hAnsi="仿宋" w:eastAsia="仿宋" w:cs="仿宋"/>
          <w:color w:val="auto"/>
          <w:spacing w:val="-6"/>
          <w:sz w:val="24"/>
        </w:rPr>
      </w:pPr>
      <w:r>
        <w:rPr>
          <w:rFonts w:hint="eastAsia" w:ascii="仿宋" w:hAnsi="仿宋" w:eastAsia="仿宋" w:cs="仿宋"/>
          <w:color w:val="auto"/>
          <w:spacing w:val="-6"/>
          <w:sz w:val="24"/>
        </w:rPr>
        <w:t xml:space="preserve">12.本次响应文件内容与磋商文件内容偏离见磋商偏离表（如果有）。 </w:t>
      </w:r>
    </w:p>
    <w:p>
      <w:pPr>
        <w:spacing w:line="360" w:lineRule="auto"/>
        <w:ind w:firstLine="456" w:firstLineChars="200"/>
        <w:rPr>
          <w:rFonts w:ascii="仿宋" w:hAnsi="仿宋" w:eastAsia="仿宋" w:cs="仿宋"/>
          <w:color w:val="auto"/>
          <w:spacing w:val="-6"/>
          <w:sz w:val="24"/>
        </w:rPr>
      </w:pPr>
      <w:r>
        <w:rPr>
          <w:rFonts w:hint="eastAsia" w:ascii="仿宋" w:hAnsi="仿宋" w:eastAsia="仿宋" w:cs="仿宋"/>
          <w:color w:val="auto"/>
          <w:spacing w:val="-6"/>
          <w:sz w:val="24"/>
        </w:rPr>
        <w:t xml:space="preserve">13.遵守磋商文件中要求的收费项目和标准。 </w:t>
      </w:r>
    </w:p>
    <w:p>
      <w:pPr>
        <w:spacing w:line="360" w:lineRule="auto"/>
        <w:ind w:firstLine="456" w:firstLineChars="200"/>
        <w:rPr>
          <w:rFonts w:ascii="仿宋" w:hAnsi="仿宋" w:eastAsia="仿宋" w:cs="仿宋"/>
          <w:color w:val="auto"/>
          <w:spacing w:val="-6"/>
          <w:sz w:val="24"/>
        </w:rPr>
      </w:pPr>
      <w:r>
        <w:rPr>
          <w:rFonts w:hint="eastAsia" w:ascii="仿宋" w:hAnsi="仿宋" w:eastAsia="仿宋" w:cs="仿宋"/>
          <w:color w:val="auto"/>
          <w:spacing w:val="-6"/>
          <w:sz w:val="24"/>
        </w:rPr>
        <w:t xml:space="preserve">14.我方将严格遵守《中华人民共和国政府采购法》，若存在违法违规行为，自愿承担相应的法律后果。 </w:t>
      </w:r>
    </w:p>
    <w:p>
      <w:pPr>
        <w:spacing w:line="360" w:lineRule="auto"/>
        <w:ind w:firstLine="456" w:firstLineChars="200"/>
        <w:rPr>
          <w:rFonts w:ascii="仿宋" w:hAnsi="仿宋" w:eastAsia="仿宋" w:cs="仿宋"/>
          <w:color w:val="auto"/>
          <w:spacing w:val="-1"/>
          <w:sz w:val="24"/>
        </w:rPr>
      </w:pPr>
      <w:r>
        <w:rPr>
          <w:rFonts w:hint="eastAsia" w:ascii="仿宋" w:hAnsi="仿宋" w:eastAsia="仿宋" w:cs="仿宋"/>
          <w:color w:val="auto"/>
          <w:spacing w:val="-6"/>
          <w:sz w:val="24"/>
        </w:rPr>
        <w:t>15.与本磋商有关的一切正式往来通讯请寄：</w:t>
      </w:r>
    </w:p>
    <w:p>
      <w:pPr>
        <w:spacing w:line="360" w:lineRule="auto"/>
        <w:ind w:firstLine="476" w:firstLineChars="200"/>
        <w:rPr>
          <w:rFonts w:ascii="仿宋" w:hAnsi="仿宋" w:eastAsia="仿宋" w:cs="仿宋"/>
          <w:color w:val="auto"/>
          <w:spacing w:val="-1"/>
          <w:sz w:val="24"/>
        </w:rPr>
      </w:pPr>
      <w:r>
        <w:rPr>
          <w:rFonts w:hint="eastAsia" w:ascii="仿宋" w:hAnsi="仿宋" w:eastAsia="仿宋" w:cs="仿宋"/>
          <w:color w:val="auto"/>
          <w:spacing w:val="-1"/>
          <w:sz w:val="24"/>
        </w:rPr>
        <w:t>地址：                           电    话：</w:t>
      </w:r>
    </w:p>
    <w:p>
      <w:pPr>
        <w:spacing w:line="360" w:lineRule="auto"/>
        <w:ind w:firstLine="476" w:firstLineChars="200"/>
        <w:rPr>
          <w:rFonts w:ascii="仿宋" w:hAnsi="仿宋" w:eastAsia="仿宋" w:cs="仿宋"/>
          <w:color w:val="auto"/>
          <w:spacing w:val="-1"/>
          <w:sz w:val="24"/>
        </w:rPr>
      </w:pPr>
      <w:r>
        <w:rPr>
          <w:rFonts w:hint="eastAsia" w:ascii="仿宋" w:hAnsi="仿宋" w:eastAsia="仿宋" w:cs="仿宋"/>
          <w:color w:val="auto"/>
          <w:spacing w:val="-1"/>
          <w:sz w:val="24"/>
        </w:rPr>
        <w:t>传真：                           邮政编码：</w:t>
      </w:r>
    </w:p>
    <w:p>
      <w:pPr>
        <w:spacing w:line="360" w:lineRule="auto"/>
        <w:rPr>
          <w:rFonts w:ascii="仿宋" w:hAnsi="仿宋" w:eastAsia="仿宋" w:cs="仿宋"/>
          <w:color w:val="auto"/>
          <w:sz w:val="24"/>
        </w:rPr>
      </w:pPr>
    </w:p>
    <w:p>
      <w:pPr>
        <w:spacing w:line="360" w:lineRule="auto"/>
        <w:ind w:firstLine="5236" w:firstLineChars="2200"/>
        <w:rPr>
          <w:rFonts w:ascii="仿宋" w:hAnsi="仿宋" w:eastAsia="仿宋" w:cs="仿宋"/>
          <w:color w:val="auto"/>
          <w:spacing w:val="-1"/>
          <w:sz w:val="24"/>
        </w:rPr>
      </w:pPr>
      <w:r>
        <w:rPr>
          <w:rFonts w:hint="eastAsia" w:ascii="仿宋" w:hAnsi="仿宋" w:eastAsia="仿宋" w:cs="仿宋"/>
          <w:color w:val="auto"/>
          <w:spacing w:val="-1"/>
          <w:sz w:val="24"/>
        </w:rPr>
        <w:t>供应商（公章）：</w:t>
      </w:r>
    </w:p>
    <w:p>
      <w:pPr>
        <w:spacing w:line="360" w:lineRule="auto"/>
        <w:ind w:firstLine="4046" w:firstLineChars="1700"/>
        <w:rPr>
          <w:rFonts w:ascii="仿宋" w:hAnsi="仿宋" w:eastAsia="仿宋" w:cs="仿宋"/>
          <w:color w:val="auto"/>
          <w:spacing w:val="-1"/>
          <w:sz w:val="24"/>
        </w:rPr>
      </w:pPr>
      <w:r>
        <w:rPr>
          <w:rFonts w:hint="eastAsia" w:ascii="仿宋" w:hAnsi="仿宋" w:eastAsia="仿宋" w:cs="仿宋"/>
          <w:color w:val="auto"/>
          <w:spacing w:val="-1"/>
          <w:sz w:val="24"/>
        </w:rPr>
        <w:t>法定代表人（负责人）或授权代表签字：</w:t>
      </w:r>
    </w:p>
    <w:p>
      <w:pPr>
        <w:spacing w:line="360" w:lineRule="auto"/>
        <w:ind w:firstLine="6426" w:firstLineChars="2700"/>
        <w:rPr>
          <w:rFonts w:ascii="仿宋" w:hAnsi="仿宋" w:eastAsia="仿宋" w:cs="仿宋"/>
          <w:color w:val="auto"/>
          <w:spacing w:val="-1"/>
          <w:sz w:val="24"/>
        </w:rPr>
        <w:sectPr>
          <w:headerReference r:id="rId6" w:type="default"/>
          <w:footerReference r:id="rId7" w:type="default"/>
          <w:pgSz w:w="11907" w:h="16840"/>
          <w:pgMar w:top="1440" w:right="1800" w:bottom="1440" w:left="1800" w:header="851" w:footer="992" w:gutter="0"/>
          <w:cols w:space="720" w:num="1"/>
          <w:docGrid w:linePitch="290" w:charSpace="0"/>
        </w:sectPr>
      </w:pPr>
      <w:r>
        <w:rPr>
          <w:rFonts w:hint="eastAsia" w:ascii="仿宋" w:hAnsi="仿宋" w:eastAsia="仿宋" w:cs="仿宋"/>
          <w:color w:val="auto"/>
          <w:spacing w:val="-1"/>
          <w:sz w:val="24"/>
        </w:rPr>
        <w:t>日期：</w:t>
      </w:r>
    </w:p>
    <w:p>
      <w:pPr>
        <w:pStyle w:val="3"/>
        <w:spacing w:line="240" w:lineRule="auto"/>
        <w:rPr>
          <w:rFonts w:ascii="仿宋" w:hAnsi="仿宋" w:eastAsia="仿宋" w:cs="仿宋"/>
          <w:color w:val="auto"/>
          <w:sz w:val="30"/>
          <w:szCs w:val="30"/>
        </w:rPr>
      </w:pPr>
      <w:bookmarkStart w:id="154" w:name="_Toc105940946"/>
      <w:bookmarkStart w:id="155" w:name="_Toc105940864"/>
      <w:r>
        <w:rPr>
          <w:rFonts w:hint="eastAsia" w:ascii="仿宋" w:hAnsi="仿宋" w:eastAsia="仿宋" w:cs="仿宋"/>
          <w:color w:val="auto"/>
          <w:sz w:val="30"/>
          <w:szCs w:val="30"/>
        </w:rPr>
        <w:t>二、磋商（报价）一览表</w:t>
      </w:r>
      <w:bookmarkEnd w:id="154"/>
      <w:bookmarkEnd w:id="155"/>
    </w:p>
    <w:p>
      <w:pPr>
        <w:pStyle w:val="7"/>
        <w:ind w:firstLine="0"/>
        <w:jc w:val="center"/>
        <w:rPr>
          <w:rFonts w:ascii="仿宋" w:hAnsi="仿宋" w:eastAsia="仿宋" w:cs="仿宋"/>
          <w:b/>
          <w:bCs/>
          <w:color w:val="auto"/>
          <w:sz w:val="32"/>
          <w:szCs w:val="32"/>
        </w:rPr>
      </w:pPr>
      <w:r>
        <w:rPr>
          <w:rFonts w:hint="eastAsia" w:ascii="仿宋" w:hAnsi="仿宋" w:eastAsia="仿宋" w:cs="仿宋"/>
          <w:b/>
          <w:bCs/>
          <w:color w:val="auto"/>
          <w:sz w:val="32"/>
          <w:szCs w:val="32"/>
        </w:rPr>
        <w:t>首轮报价</w:t>
      </w:r>
    </w:p>
    <w:tbl>
      <w:tblPr>
        <w:tblStyle w:val="34"/>
        <w:tblW w:w="0" w:type="auto"/>
        <w:jc w:val="center"/>
        <w:tblLayout w:type="autofit"/>
        <w:tblCellMar>
          <w:top w:w="0" w:type="dxa"/>
          <w:left w:w="108" w:type="dxa"/>
          <w:bottom w:w="0" w:type="dxa"/>
          <w:right w:w="108" w:type="dxa"/>
        </w:tblCellMar>
      </w:tblPr>
      <w:tblGrid>
        <w:gridCol w:w="2281"/>
        <w:gridCol w:w="5682"/>
      </w:tblGrid>
      <w:tr>
        <w:tblPrEx>
          <w:tblCellMar>
            <w:top w:w="0" w:type="dxa"/>
            <w:left w:w="108" w:type="dxa"/>
            <w:bottom w:w="0" w:type="dxa"/>
            <w:right w:w="108" w:type="dxa"/>
          </w:tblCellMar>
        </w:tblPrEx>
        <w:trPr>
          <w:trHeight w:val="800" w:hRule="atLeast"/>
          <w:jc w:val="center"/>
        </w:trPr>
        <w:tc>
          <w:tcPr>
            <w:tcW w:w="7963" w:type="dxa"/>
            <w:gridSpan w:val="2"/>
            <w:tcBorders>
              <w:top w:val="nil"/>
              <w:left w:val="nil"/>
              <w:bottom w:val="single" w:color="auto" w:sz="4" w:space="0"/>
              <w:right w:val="nil"/>
            </w:tcBorders>
            <w:vAlign w:val="center"/>
          </w:tcPr>
          <w:p>
            <w:pPr>
              <w:widowControl/>
              <w:spacing w:line="360" w:lineRule="auto"/>
              <w:rPr>
                <w:rFonts w:ascii="仿宋" w:hAnsi="仿宋" w:eastAsia="仿宋" w:cs="仿宋"/>
                <w:color w:val="auto"/>
                <w:kern w:val="0"/>
                <w:sz w:val="24"/>
              </w:rPr>
            </w:pPr>
            <w:r>
              <w:rPr>
                <w:rFonts w:hint="eastAsia" w:ascii="仿宋" w:hAnsi="仿宋" w:eastAsia="仿宋" w:cs="仿宋"/>
                <w:color w:val="auto"/>
                <w:kern w:val="0"/>
                <w:sz w:val="24"/>
              </w:rPr>
              <w:t>项目名称：扬中市人民医院团体重大疾病保险服务采购项目</w:t>
            </w:r>
          </w:p>
          <w:p>
            <w:pPr>
              <w:widowControl/>
              <w:spacing w:after="240" w:line="360" w:lineRule="auto"/>
              <w:rPr>
                <w:rFonts w:ascii="仿宋" w:hAnsi="仿宋" w:eastAsia="仿宋" w:cs="仿宋"/>
                <w:color w:val="auto"/>
                <w:kern w:val="0"/>
                <w:sz w:val="24"/>
              </w:rPr>
            </w:pPr>
            <w:r>
              <w:rPr>
                <w:rFonts w:hint="eastAsia" w:ascii="仿宋" w:hAnsi="仿宋" w:eastAsia="仿宋" w:cs="仿宋"/>
                <w:color w:val="auto"/>
                <w:kern w:val="0"/>
                <w:sz w:val="24"/>
              </w:rPr>
              <w:t>单位名称（加盖公章）：</w:t>
            </w:r>
          </w:p>
        </w:tc>
      </w:tr>
      <w:tr>
        <w:tblPrEx>
          <w:tblCellMar>
            <w:top w:w="0" w:type="dxa"/>
            <w:left w:w="108" w:type="dxa"/>
            <w:bottom w:w="0" w:type="dxa"/>
            <w:right w:w="108" w:type="dxa"/>
          </w:tblCellMar>
        </w:tblPrEx>
        <w:trPr>
          <w:trHeight w:val="1149" w:hRule="atLeast"/>
          <w:jc w:val="center"/>
        </w:trPr>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kern w:val="0"/>
                <w:sz w:val="24"/>
              </w:rPr>
              <w:t>项目总报价</w:t>
            </w:r>
          </w:p>
        </w:tc>
        <w:tc>
          <w:tcPr>
            <w:tcW w:w="5682" w:type="dxa"/>
            <w:tcBorders>
              <w:top w:val="single" w:color="auto" w:sz="4" w:space="0"/>
              <w:left w:val="nil"/>
              <w:bottom w:val="single" w:color="auto" w:sz="4" w:space="0"/>
              <w:right w:val="single" w:color="auto" w:sz="4" w:space="0"/>
            </w:tcBorders>
            <w:vAlign w:val="center"/>
          </w:tcPr>
          <w:p>
            <w:pPr>
              <w:widowControl/>
              <w:spacing w:line="360" w:lineRule="auto"/>
              <w:rPr>
                <w:rFonts w:ascii="仿宋" w:hAnsi="仿宋" w:eastAsia="仿宋" w:cs="仿宋"/>
                <w:color w:val="auto"/>
                <w:kern w:val="0"/>
                <w:sz w:val="24"/>
              </w:rPr>
            </w:pPr>
            <w:r>
              <w:rPr>
                <w:rFonts w:hint="eastAsia" w:ascii="仿宋" w:hAnsi="仿宋" w:eastAsia="仿宋" w:cs="仿宋"/>
                <w:color w:val="auto"/>
                <w:kern w:val="0"/>
                <w:sz w:val="24"/>
              </w:rPr>
              <w:t>金额（大写）：</w:t>
            </w:r>
          </w:p>
          <w:p>
            <w:pPr>
              <w:widowControl/>
              <w:spacing w:line="360" w:lineRule="auto"/>
              <w:ind w:firstLine="1320" w:firstLineChars="550"/>
              <w:rPr>
                <w:rFonts w:ascii="仿宋" w:hAnsi="仿宋" w:eastAsia="仿宋" w:cs="仿宋"/>
                <w:color w:val="auto"/>
                <w:sz w:val="24"/>
              </w:rPr>
            </w:pPr>
            <w:r>
              <w:rPr>
                <w:rFonts w:hint="eastAsia" w:ascii="仿宋" w:hAnsi="仿宋" w:eastAsia="仿宋" w:cs="仿宋"/>
                <w:color w:val="auto"/>
                <w:sz w:val="24"/>
              </w:rPr>
              <w:t>¥：</w:t>
            </w:r>
          </w:p>
        </w:tc>
      </w:tr>
      <w:tr>
        <w:tblPrEx>
          <w:tblCellMar>
            <w:top w:w="0" w:type="dxa"/>
            <w:left w:w="108" w:type="dxa"/>
            <w:bottom w:w="0" w:type="dxa"/>
            <w:right w:w="108" w:type="dxa"/>
          </w:tblCellMar>
        </w:tblPrEx>
        <w:trPr>
          <w:trHeight w:val="832" w:hRule="atLeast"/>
          <w:jc w:val="center"/>
        </w:trPr>
        <w:tc>
          <w:tcPr>
            <w:tcW w:w="228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合同履行期</w:t>
            </w:r>
          </w:p>
        </w:tc>
        <w:tc>
          <w:tcPr>
            <w:tcW w:w="5682" w:type="dxa"/>
            <w:tcBorders>
              <w:top w:val="nil"/>
              <w:left w:val="nil"/>
              <w:bottom w:val="single" w:color="auto" w:sz="4" w:space="0"/>
              <w:right w:val="single" w:color="auto" w:sz="4" w:space="0"/>
            </w:tcBorders>
            <w:vAlign w:val="center"/>
          </w:tcPr>
          <w:p>
            <w:pPr>
              <w:widowControl/>
              <w:spacing w:line="360" w:lineRule="auto"/>
              <w:rPr>
                <w:rFonts w:ascii="仿宋" w:hAnsi="仿宋" w:eastAsia="仿宋" w:cs="仿宋"/>
                <w:color w:val="auto"/>
                <w:kern w:val="0"/>
                <w:sz w:val="24"/>
              </w:rPr>
            </w:pPr>
            <w:r>
              <w:rPr>
                <w:rFonts w:hint="eastAsia" w:ascii="仿宋" w:hAnsi="仿宋" w:eastAsia="仿宋" w:cs="仿宋"/>
                <w:color w:val="auto"/>
                <w:kern w:val="0"/>
                <w:sz w:val="24"/>
              </w:rPr>
              <w:t>完全满足项目需求</w:t>
            </w:r>
          </w:p>
        </w:tc>
      </w:tr>
      <w:tr>
        <w:tblPrEx>
          <w:tblCellMar>
            <w:top w:w="0" w:type="dxa"/>
            <w:left w:w="108" w:type="dxa"/>
            <w:bottom w:w="0" w:type="dxa"/>
            <w:right w:w="108" w:type="dxa"/>
          </w:tblCellMar>
        </w:tblPrEx>
        <w:trPr>
          <w:trHeight w:val="690" w:hRule="atLeast"/>
          <w:jc w:val="center"/>
        </w:trPr>
        <w:tc>
          <w:tcPr>
            <w:tcW w:w="22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备注</w:t>
            </w:r>
          </w:p>
        </w:tc>
        <w:tc>
          <w:tcPr>
            <w:tcW w:w="5682" w:type="dxa"/>
            <w:tcBorders>
              <w:top w:val="single" w:color="auto" w:sz="4" w:space="0"/>
              <w:left w:val="nil"/>
              <w:bottom w:val="single" w:color="auto" w:sz="4" w:space="0"/>
              <w:right w:val="single" w:color="auto" w:sz="4" w:space="0"/>
            </w:tcBorders>
            <w:vAlign w:val="center"/>
          </w:tcPr>
          <w:p>
            <w:pPr>
              <w:widowControl/>
              <w:spacing w:line="360" w:lineRule="auto"/>
              <w:rPr>
                <w:rFonts w:ascii="仿宋" w:hAnsi="仿宋" w:eastAsia="仿宋" w:cs="仿宋"/>
                <w:color w:val="auto"/>
                <w:kern w:val="0"/>
                <w:sz w:val="24"/>
              </w:rPr>
            </w:pPr>
          </w:p>
        </w:tc>
      </w:tr>
    </w:tbl>
    <w:p>
      <w:pPr>
        <w:pStyle w:val="11"/>
        <w:spacing w:before="240" w:line="360" w:lineRule="auto"/>
        <w:rPr>
          <w:rFonts w:ascii="仿宋" w:hAnsi="仿宋" w:eastAsia="仿宋" w:cs="仿宋"/>
          <w:b/>
          <w:color w:val="auto"/>
          <w:sz w:val="24"/>
        </w:rPr>
      </w:pPr>
      <w:r>
        <w:rPr>
          <w:rFonts w:hint="eastAsia" w:ascii="仿宋" w:hAnsi="仿宋" w:eastAsia="仿宋" w:cs="仿宋"/>
          <w:b/>
          <w:color w:val="auto"/>
          <w:sz w:val="24"/>
        </w:rPr>
        <w:t>备注：</w:t>
      </w:r>
    </w:p>
    <w:p>
      <w:pPr>
        <w:pStyle w:val="11"/>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1、</w:t>
      </w:r>
      <w:r>
        <w:rPr>
          <w:rFonts w:hint="eastAsia" w:ascii="仿宋" w:hAnsi="仿宋" w:eastAsia="仿宋" w:cs="仿宋"/>
          <w:color w:val="auto"/>
          <w:sz w:val="24"/>
          <w:szCs w:val="24"/>
          <w:u w:val="single"/>
        </w:rPr>
        <w:t>“项目总报价”包括本次招标要求提供服务本身已支付或将支付的各种税费及与本项目相关的所有费用；首轮报价不得超过预算。</w:t>
      </w:r>
    </w:p>
    <w:p>
      <w:pPr>
        <w:pStyle w:val="11"/>
        <w:spacing w:line="360" w:lineRule="auto"/>
        <w:ind w:firstLine="480" w:firstLineChars="200"/>
        <w:rPr>
          <w:rFonts w:ascii="仿宋" w:hAnsi="仿宋" w:eastAsia="仿宋" w:cs="仿宋"/>
          <w:bCs/>
          <w:color w:val="auto"/>
          <w:sz w:val="24"/>
          <w:szCs w:val="24"/>
          <w:u w:val="single"/>
        </w:rPr>
      </w:pPr>
      <w:r>
        <w:rPr>
          <w:rFonts w:hint="eastAsia" w:ascii="仿宋" w:hAnsi="仿宋" w:eastAsia="仿宋" w:cs="仿宋"/>
          <w:bCs/>
          <w:color w:val="auto"/>
          <w:sz w:val="24"/>
          <w:szCs w:val="24"/>
        </w:rPr>
        <w:t>2、</w:t>
      </w:r>
      <w:r>
        <w:rPr>
          <w:rFonts w:hint="eastAsia" w:ascii="仿宋" w:hAnsi="仿宋" w:eastAsia="仿宋" w:cs="仿宋"/>
          <w:bCs/>
          <w:color w:val="auto"/>
          <w:sz w:val="24"/>
          <w:szCs w:val="24"/>
          <w:u w:val="single"/>
        </w:rPr>
        <w:t>供应商必须据实填写此表，报价所含与磋商文件要求的内容一致。</w:t>
      </w:r>
    </w:p>
    <w:p>
      <w:pPr>
        <w:pStyle w:val="11"/>
        <w:spacing w:line="360" w:lineRule="auto"/>
        <w:ind w:firstLine="2520" w:firstLineChars="900"/>
        <w:rPr>
          <w:rFonts w:ascii="仿宋" w:hAnsi="仿宋" w:eastAsia="仿宋" w:cs="仿宋"/>
          <w:color w:val="auto"/>
        </w:rPr>
      </w:pPr>
    </w:p>
    <w:p>
      <w:pPr>
        <w:pStyle w:val="11"/>
        <w:spacing w:line="360" w:lineRule="auto"/>
        <w:ind w:firstLine="2520" w:firstLineChars="900"/>
        <w:rPr>
          <w:rFonts w:ascii="仿宋" w:hAnsi="仿宋" w:eastAsia="仿宋" w:cs="仿宋"/>
          <w:color w:val="auto"/>
          <w:sz w:val="30"/>
        </w:rPr>
      </w:pPr>
      <w:r>
        <w:rPr>
          <w:rFonts w:hint="eastAsia" w:ascii="仿宋" w:hAnsi="仿宋" w:eastAsia="仿宋" w:cs="仿宋"/>
          <w:color w:val="auto"/>
        </w:rPr>
        <w:t>法定代表人（负责人）或授权委托代理人签字：</w:t>
      </w:r>
    </w:p>
    <w:p>
      <w:pPr>
        <w:pStyle w:val="11"/>
        <w:spacing w:line="360" w:lineRule="auto"/>
        <w:jc w:val="right"/>
        <w:rPr>
          <w:rFonts w:ascii="仿宋" w:hAnsi="仿宋" w:eastAsia="仿宋" w:cs="仿宋"/>
          <w:color w:val="auto"/>
        </w:rPr>
      </w:pPr>
      <w:r>
        <w:rPr>
          <w:rFonts w:hint="eastAsia" w:ascii="仿宋" w:hAnsi="仿宋" w:eastAsia="仿宋" w:cs="仿宋"/>
          <w:color w:val="auto"/>
        </w:rPr>
        <w:t>日期： 年 月 日</w:t>
      </w:r>
    </w:p>
    <w:p>
      <w:pPr>
        <w:pStyle w:val="7"/>
        <w:ind w:firstLine="0"/>
        <w:jc w:val="center"/>
        <w:rPr>
          <w:rFonts w:ascii="仿宋" w:hAnsi="仿宋" w:eastAsia="仿宋" w:cs="仿宋"/>
          <w:b/>
          <w:bCs/>
          <w:color w:val="auto"/>
          <w:sz w:val="32"/>
          <w:szCs w:val="32"/>
        </w:rPr>
      </w:pPr>
      <w:bookmarkStart w:id="156" w:name="_Toc105940947"/>
      <w:bookmarkStart w:id="157" w:name="_Toc105940865"/>
      <w:r>
        <w:rPr>
          <w:rFonts w:hint="eastAsia" w:ascii="仿宋" w:hAnsi="仿宋" w:eastAsia="仿宋" w:cs="仿宋"/>
          <w:b/>
          <w:bCs/>
          <w:color w:val="auto"/>
          <w:sz w:val="32"/>
          <w:szCs w:val="32"/>
        </w:rPr>
        <w:br w:type="page"/>
      </w:r>
      <w:r>
        <w:rPr>
          <w:rFonts w:hint="eastAsia" w:ascii="仿宋" w:hAnsi="仿宋" w:eastAsia="仿宋" w:cs="仿宋"/>
          <w:b/>
          <w:bCs/>
          <w:color w:val="auto"/>
          <w:sz w:val="32"/>
          <w:szCs w:val="32"/>
        </w:rPr>
        <w:t>最终（报价）一览表</w:t>
      </w:r>
      <w:bookmarkEnd w:id="156"/>
      <w:bookmarkEnd w:id="157"/>
    </w:p>
    <w:tbl>
      <w:tblPr>
        <w:tblStyle w:val="34"/>
        <w:tblpPr w:leftFromText="180" w:rightFromText="180" w:vertAnchor="text" w:horzAnchor="page" w:tblpX="1857" w:tblpY="81"/>
        <w:tblOverlap w:val="never"/>
        <w:tblW w:w="4950" w:type="pct"/>
        <w:tblInd w:w="0" w:type="dxa"/>
        <w:tblLayout w:type="autofit"/>
        <w:tblCellMar>
          <w:top w:w="0" w:type="dxa"/>
          <w:left w:w="108" w:type="dxa"/>
          <w:bottom w:w="0" w:type="dxa"/>
          <w:right w:w="108" w:type="dxa"/>
        </w:tblCellMar>
      </w:tblPr>
      <w:tblGrid>
        <w:gridCol w:w="2837"/>
        <w:gridCol w:w="5600"/>
      </w:tblGrid>
      <w:tr>
        <w:tblPrEx>
          <w:tblCellMar>
            <w:top w:w="0" w:type="dxa"/>
            <w:left w:w="108" w:type="dxa"/>
            <w:bottom w:w="0" w:type="dxa"/>
            <w:right w:w="108" w:type="dxa"/>
          </w:tblCellMar>
        </w:tblPrEx>
        <w:trPr>
          <w:trHeight w:val="899" w:hRule="atLeast"/>
        </w:trPr>
        <w:tc>
          <w:tcPr>
            <w:tcW w:w="5000" w:type="pct"/>
            <w:gridSpan w:val="2"/>
            <w:tcBorders>
              <w:top w:val="nil"/>
              <w:left w:val="nil"/>
              <w:bottom w:val="single" w:color="auto" w:sz="4" w:space="0"/>
              <w:right w:val="nil"/>
            </w:tcBorders>
            <w:vAlign w:val="center"/>
          </w:tcPr>
          <w:p>
            <w:pPr>
              <w:widowControl/>
              <w:spacing w:line="360" w:lineRule="auto"/>
              <w:rPr>
                <w:rFonts w:ascii="仿宋" w:hAnsi="仿宋" w:eastAsia="仿宋" w:cs="仿宋"/>
                <w:color w:val="auto"/>
                <w:kern w:val="0"/>
                <w:sz w:val="24"/>
              </w:rPr>
            </w:pPr>
            <w:r>
              <w:rPr>
                <w:rFonts w:hint="eastAsia" w:ascii="仿宋" w:hAnsi="仿宋" w:eastAsia="仿宋" w:cs="仿宋"/>
                <w:color w:val="auto"/>
                <w:kern w:val="0"/>
                <w:sz w:val="24"/>
              </w:rPr>
              <w:t>项目名称：扬中市人民医院团体重大疾病保险服务采购项目</w:t>
            </w:r>
          </w:p>
          <w:p>
            <w:pPr>
              <w:widowControl/>
              <w:rPr>
                <w:rFonts w:ascii="仿宋" w:hAnsi="仿宋" w:eastAsia="仿宋" w:cs="仿宋"/>
                <w:color w:val="auto"/>
                <w:kern w:val="0"/>
                <w:sz w:val="24"/>
              </w:rPr>
            </w:pPr>
          </w:p>
          <w:p>
            <w:pPr>
              <w:widowControl/>
              <w:spacing w:after="240"/>
              <w:rPr>
                <w:rFonts w:ascii="仿宋" w:hAnsi="仿宋" w:eastAsia="仿宋" w:cs="仿宋"/>
                <w:color w:val="auto"/>
                <w:kern w:val="0"/>
                <w:sz w:val="24"/>
              </w:rPr>
            </w:pPr>
            <w:r>
              <w:rPr>
                <w:rFonts w:hint="eastAsia" w:ascii="仿宋" w:hAnsi="仿宋" w:eastAsia="仿宋" w:cs="仿宋"/>
                <w:color w:val="auto"/>
                <w:kern w:val="0"/>
                <w:sz w:val="24"/>
              </w:rPr>
              <w:t>单位名称（加盖公章）：</w:t>
            </w:r>
          </w:p>
        </w:tc>
      </w:tr>
      <w:tr>
        <w:tblPrEx>
          <w:tblCellMar>
            <w:top w:w="0" w:type="dxa"/>
            <w:left w:w="108" w:type="dxa"/>
            <w:bottom w:w="0" w:type="dxa"/>
            <w:right w:w="108" w:type="dxa"/>
          </w:tblCellMar>
        </w:tblPrEx>
        <w:trPr>
          <w:trHeight w:val="1024" w:hRule="atLeast"/>
        </w:trPr>
        <w:tc>
          <w:tcPr>
            <w:tcW w:w="16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4"/>
              </w:rPr>
            </w:pPr>
            <w:r>
              <w:rPr>
                <w:rFonts w:hint="eastAsia" w:ascii="仿宋" w:hAnsi="仿宋" w:eastAsia="仿宋" w:cs="仿宋"/>
                <w:color w:val="auto"/>
                <w:kern w:val="0"/>
                <w:sz w:val="24"/>
              </w:rPr>
              <w:t>项目总报价</w:t>
            </w:r>
          </w:p>
        </w:tc>
        <w:tc>
          <w:tcPr>
            <w:tcW w:w="3318" w:type="pct"/>
            <w:tcBorders>
              <w:top w:val="single" w:color="auto" w:sz="4" w:space="0"/>
              <w:left w:val="nil"/>
              <w:bottom w:val="single" w:color="auto" w:sz="4" w:space="0"/>
              <w:right w:val="single" w:color="auto" w:sz="4" w:space="0"/>
            </w:tcBorders>
            <w:vAlign w:val="center"/>
          </w:tcPr>
          <w:p>
            <w:pPr>
              <w:widowControl/>
              <w:rPr>
                <w:rFonts w:ascii="仿宋" w:hAnsi="仿宋" w:eastAsia="仿宋" w:cs="仿宋"/>
                <w:color w:val="auto"/>
                <w:sz w:val="24"/>
              </w:rPr>
            </w:pPr>
            <w:r>
              <w:rPr>
                <w:rFonts w:hint="eastAsia" w:ascii="仿宋" w:hAnsi="仿宋" w:eastAsia="仿宋" w:cs="仿宋"/>
                <w:color w:val="auto"/>
                <w:kern w:val="0"/>
                <w:sz w:val="24"/>
              </w:rPr>
              <w:t xml:space="preserve">金额（大写）：  </w:t>
            </w:r>
            <w:r>
              <w:rPr>
                <w:rFonts w:hint="eastAsia" w:ascii="仿宋" w:hAnsi="仿宋" w:eastAsia="仿宋" w:cs="仿宋"/>
                <w:color w:val="auto"/>
                <w:sz w:val="24"/>
              </w:rPr>
              <w:t xml:space="preserve">       </w:t>
            </w:r>
          </w:p>
          <w:p>
            <w:pPr>
              <w:tabs>
                <w:tab w:val="left" w:pos="2185"/>
              </w:tabs>
              <w:ind w:firstLine="1320" w:firstLineChars="550"/>
              <w:rPr>
                <w:rFonts w:ascii="仿宋" w:hAnsi="仿宋" w:eastAsia="仿宋" w:cs="仿宋"/>
                <w:color w:val="auto"/>
                <w:sz w:val="24"/>
              </w:rPr>
            </w:pPr>
            <w:r>
              <w:rPr>
                <w:rFonts w:hint="eastAsia" w:ascii="仿宋" w:hAnsi="仿宋" w:eastAsia="仿宋" w:cs="仿宋"/>
                <w:color w:val="auto"/>
                <w:sz w:val="24"/>
              </w:rPr>
              <w:t>¥：</w:t>
            </w:r>
          </w:p>
        </w:tc>
      </w:tr>
      <w:tr>
        <w:tblPrEx>
          <w:tblCellMar>
            <w:top w:w="0" w:type="dxa"/>
            <w:left w:w="108" w:type="dxa"/>
            <w:bottom w:w="0" w:type="dxa"/>
            <w:right w:w="108" w:type="dxa"/>
          </w:tblCellMar>
        </w:tblPrEx>
        <w:trPr>
          <w:trHeight w:val="684" w:hRule="atLeast"/>
        </w:trPr>
        <w:tc>
          <w:tcPr>
            <w:tcW w:w="1681" w:type="pc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4"/>
              </w:rPr>
            </w:pPr>
            <w:r>
              <w:rPr>
                <w:rFonts w:hint="eastAsia" w:ascii="仿宋" w:hAnsi="仿宋" w:eastAsia="仿宋" w:cs="仿宋"/>
                <w:color w:val="auto"/>
                <w:kern w:val="0"/>
                <w:sz w:val="24"/>
              </w:rPr>
              <w:t>合同履行期</w:t>
            </w:r>
          </w:p>
        </w:tc>
        <w:tc>
          <w:tcPr>
            <w:tcW w:w="3318" w:type="pct"/>
            <w:tcBorders>
              <w:top w:val="nil"/>
              <w:left w:val="nil"/>
              <w:bottom w:val="single" w:color="auto" w:sz="4" w:space="0"/>
              <w:right w:val="single" w:color="auto" w:sz="4" w:space="0"/>
            </w:tcBorders>
            <w:vAlign w:val="center"/>
          </w:tcPr>
          <w:p>
            <w:pPr>
              <w:widowControl/>
              <w:rPr>
                <w:rFonts w:ascii="仿宋" w:hAnsi="仿宋" w:eastAsia="仿宋" w:cs="仿宋"/>
                <w:color w:val="auto"/>
                <w:kern w:val="0"/>
                <w:sz w:val="24"/>
              </w:rPr>
            </w:pPr>
            <w:r>
              <w:rPr>
                <w:rFonts w:hint="eastAsia" w:ascii="仿宋" w:hAnsi="仿宋" w:eastAsia="仿宋" w:cs="仿宋"/>
                <w:color w:val="auto"/>
                <w:kern w:val="0"/>
                <w:sz w:val="24"/>
              </w:rPr>
              <w:t>完全满足项目需求</w:t>
            </w:r>
          </w:p>
        </w:tc>
      </w:tr>
      <w:tr>
        <w:tblPrEx>
          <w:tblCellMar>
            <w:top w:w="0" w:type="dxa"/>
            <w:left w:w="108" w:type="dxa"/>
            <w:bottom w:w="0" w:type="dxa"/>
            <w:right w:w="108" w:type="dxa"/>
          </w:tblCellMar>
        </w:tblPrEx>
        <w:trPr>
          <w:trHeight w:val="653" w:hRule="atLeast"/>
        </w:trPr>
        <w:tc>
          <w:tcPr>
            <w:tcW w:w="16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4"/>
              </w:rPr>
            </w:pPr>
            <w:r>
              <w:rPr>
                <w:rFonts w:hint="eastAsia" w:ascii="仿宋" w:hAnsi="仿宋" w:eastAsia="仿宋" w:cs="仿宋"/>
                <w:color w:val="auto"/>
                <w:kern w:val="0"/>
                <w:sz w:val="24"/>
              </w:rPr>
              <w:t>备注</w:t>
            </w:r>
          </w:p>
        </w:tc>
        <w:tc>
          <w:tcPr>
            <w:tcW w:w="3318" w:type="pct"/>
            <w:tcBorders>
              <w:top w:val="single" w:color="auto" w:sz="4" w:space="0"/>
              <w:left w:val="nil"/>
              <w:bottom w:val="single" w:color="auto" w:sz="4" w:space="0"/>
              <w:right w:val="single" w:color="auto" w:sz="4" w:space="0"/>
            </w:tcBorders>
            <w:vAlign w:val="center"/>
          </w:tcPr>
          <w:p>
            <w:pPr>
              <w:rPr>
                <w:rFonts w:ascii="仿宋" w:hAnsi="仿宋" w:eastAsia="仿宋" w:cs="仿宋"/>
                <w:color w:val="auto"/>
                <w:sz w:val="24"/>
              </w:rPr>
            </w:pPr>
          </w:p>
        </w:tc>
      </w:tr>
    </w:tbl>
    <w:p>
      <w:pPr>
        <w:pStyle w:val="11"/>
        <w:spacing w:before="240" w:line="360" w:lineRule="auto"/>
        <w:rPr>
          <w:rFonts w:ascii="仿宋" w:hAnsi="仿宋" w:eastAsia="仿宋" w:cs="仿宋"/>
          <w:b/>
          <w:color w:val="auto"/>
          <w:sz w:val="24"/>
        </w:rPr>
      </w:pPr>
      <w:r>
        <w:rPr>
          <w:rFonts w:hint="eastAsia" w:ascii="仿宋" w:hAnsi="仿宋" w:eastAsia="仿宋" w:cs="仿宋"/>
          <w:b/>
          <w:color w:val="auto"/>
          <w:sz w:val="24"/>
        </w:rPr>
        <w:t>备注：</w:t>
      </w:r>
    </w:p>
    <w:p>
      <w:pPr>
        <w:pStyle w:val="11"/>
        <w:adjustRightInd w:val="0"/>
        <w:snapToGrid w:val="0"/>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1、</w:t>
      </w:r>
      <w:r>
        <w:rPr>
          <w:rFonts w:hint="eastAsia" w:ascii="仿宋" w:hAnsi="仿宋" w:eastAsia="仿宋" w:cs="仿宋"/>
          <w:color w:val="auto"/>
          <w:sz w:val="24"/>
          <w:u w:val="single"/>
        </w:rPr>
        <w:t>“项目总报价”包括本次招标要求提供货物本身已支付或将支付的各种税费及与本项目相关的所有费用；</w:t>
      </w:r>
    </w:p>
    <w:p>
      <w:pPr>
        <w:pStyle w:val="11"/>
        <w:adjustRightInd w:val="0"/>
        <w:snapToGrid w:val="0"/>
        <w:spacing w:line="360" w:lineRule="auto"/>
        <w:ind w:firstLine="480" w:firstLineChars="200"/>
        <w:rPr>
          <w:rFonts w:ascii="仿宋" w:hAnsi="仿宋" w:eastAsia="仿宋" w:cs="仿宋"/>
          <w:bCs/>
          <w:color w:val="auto"/>
          <w:sz w:val="24"/>
          <w:u w:val="single"/>
        </w:rPr>
      </w:pPr>
      <w:r>
        <w:rPr>
          <w:rFonts w:hint="eastAsia" w:ascii="仿宋" w:hAnsi="仿宋" w:eastAsia="仿宋" w:cs="仿宋"/>
          <w:bCs/>
          <w:color w:val="auto"/>
          <w:sz w:val="24"/>
        </w:rPr>
        <w:t>2、</w:t>
      </w:r>
      <w:r>
        <w:rPr>
          <w:rFonts w:hint="eastAsia" w:ascii="仿宋" w:hAnsi="仿宋" w:eastAsia="仿宋" w:cs="仿宋"/>
          <w:bCs/>
          <w:color w:val="auto"/>
          <w:sz w:val="24"/>
          <w:u w:val="single"/>
        </w:rPr>
        <w:t>供应商必须据实填写此表，报价所含与磋商文件要求的内容一致；</w:t>
      </w:r>
    </w:p>
    <w:p>
      <w:pPr>
        <w:pStyle w:val="13"/>
        <w:adjustRightInd w:val="0"/>
        <w:snapToGrid w:val="0"/>
        <w:spacing w:line="360" w:lineRule="auto"/>
        <w:ind w:firstLine="482" w:firstLineChars="200"/>
        <w:rPr>
          <w:rFonts w:ascii="仿宋" w:hAnsi="仿宋" w:eastAsia="仿宋" w:cs="仿宋"/>
          <w:color w:val="auto"/>
          <w:sz w:val="24"/>
          <w:szCs w:val="24"/>
        </w:rPr>
      </w:pPr>
      <w:r>
        <w:rPr>
          <w:rFonts w:hint="eastAsia" w:ascii="仿宋" w:hAnsi="仿宋" w:eastAsia="仿宋" w:cs="仿宋"/>
          <w:b/>
          <w:bCs/>
          <w:color w:val="auto"/>
          <w:sz w:val="24"/>
          <w:szCs w:val="24"/>
          <w:u w:val="single"/>
        </w:rPr>
        <w:t>3、拟做第二次报价（最后报价）的，填写此报价表一份并加盖公章，开标现场递交。作二次报价的以二次报价为准，第二次报价不得超过首轮报价；未加盖供应商公章、法定代表人（负责人）或其授权委托代理人未签字的，第二次报价无效。</w:t>
      </w:r>
    </w:p>
    <w:p>
      <w:pPr>
        <w:pStyle w:val="11"/>
        <w:adjustRightInd w:val="0"/>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4、磋商过程中未对磋商内容作出实质性变更、修改的情况下，第二次报价不得超过首轮报价，否则以其首轮报价作为最后报价，如被评定为成交供应商，其首轮报价即为成交价格。</w:t>
      </w:r>
    </w:p>
    <w:p>
      <w:pPr>
        <w:pStyle w:val="12"/>
        <w:ind w:firstLine="400"/>
        <w:rPr>
          <w:color w:val="auto"/>
        </w:rPr>
      </w:pPr>
    </w:p>
    <w:p>
      <w:pPr>
        <w:pStyle w:val="11"/>
        <w:spacing w:line="360" w:lineRule="auto"/>
        <w:ind w:firstLine="1960" w:firstLineChars="700"/>
        <w:rPr>
          <w:rFonts w:ascii="仿宋" w:hAnsi="仿宋" w:eastAsia="仿宋" w:cs="仿宋"/>
          <w:color w:val="auto"/>
        </w:rPr>
      </w:pPr>
      <w:r>
        <w:rPr>
          <w:rFonts w:hint="eastAsia" w:ascii="仿宋" w:hAnsi="仿宋" w:eastAsia="仿宋" w:cs="仿宋"/>
          <w:color w:val="auto"/>
        </w:rPr>
        <w:t>法定代表人（负责人）或授权委托代理人签字：</w:t>
      </w:r>
    </w:p>
    <w:p>
      <w:pPr>
        <w:pStyle w:val="11"/>
        <w:spacing w:line="360" w:lineRule="auto"/>
        <w:ind w:firstLine="1820" w:firstLineChars="650"/>
        <w:jc w:val="right"/>
        <w:rPr>
          <w:rFonts w:ascii="仿宋" w:hAnsi="仿宋" w:eastAsia="仿宋" w:cs="仿宋"/>
          <w:color w:val="auto"/>
          <w:sz w:val="30"/>
        </w:rPr>
      </w:pPr>
      <w:r>
        <w:rPr>
          <w:rFonts w:hint="eastAsia" w:ascii="仿宋" w:hAnsi="仿宋" w:eastAsia="仿宋" w:cs="仿宋"/>
          <w:color w:val="auto"/>
        </w:rPr>
        <w:t>日期：   年  月  日</w:t>
      </w:r>
    </w:p>
    <w:p>
      <w:pPr>
        <w:pStyle w:val="11"/>
        <w:spacing w:line="360" w:lineRule="auto"/>
        <w:jc w:val="center"/>
        <w:rPr>
          <w:rFonts w:ascii="仿宋" w:hAnsi="仿宋" w:eastAsia="仿宋" w:cs="仿宋"/>
          <w:color w:val="auto"/>
          <w:sz w:val="30"/>
        </w:rPr>
        <w:sectPr>
          <w:footerReference r:id="rId8" w:type="first"/>
          <w:pgSz w:w="11906" w:h="16838"/>
          <w:pgMar w:top="1440" w:right="1800" w:bottom="1440" w:left="1800" w:header="851" w:footer="992" w:gutter="0"/>
          <w:cols w:space="720" w:num="1"/>
          <w:docGrid w:linePitch="290" w:charSpace="0"/>
        </w:sectPr>
      </w:pPr>
    </w:p>
    <w:p>
      <w:pPr>
        <w:pStyle w:val="3"/>
        <w:spacing w:line="240" w:lineRule="auto"/>
        <w:rPr>
          <w:rFonts w:ascii="仿宋" w:hAnsi="仿宋" w:eastAsia="仿宋" w:cs="仿宋"/>
          <w:color w:val="auto"/>
          <w:sz w:val="30"/>
          <w:szCs w:val="30"/>
        </w:rPr>
      </w:pPr>
      <w:bookmarkStart w:id="158" w:name="_Toc105940949"/>
      <w:bookmarkStart w:id="159" w:name="_Toc105940867"/>
      <w:bookmarkStart w:id="160" w:name="_Toc92168048"/>
      <w:r>
        <w:rPr>
          <w:rFonts w:hint="eastAsia" w:ascii="仿宋" w:hAnsi="仿宋" w:eastAsia="仿宋" w:cs="仿宋"/>
          <w:color w:val="auto"/>
          <w:sz w:val="30"/>
          <w:szCs w:val="30"/>
        </w:rPr>
        <w:t>三、供应商相关信息一览表</w:t>
      </w:r>
    </w:p>
    <w:tbl>
      <w:tblPr>
        <w:tblStyle w:val="3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811"/>
        <w:gridCol w:w="1577"/>
        <w:gridCol w:w="667"/>
        <w:gridCol w:w="1832"/>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9" w:type="dxa"/>
            <w:shd w:val="clear" w:color="auto" w:fill="D9D9D9"/>
            <w:vAlign w:val="center"/>
          </w:tcPr>
          <w:p>
            <w:pPr>
              <w:pStyle w:val="7"/>
              <w:spacing w:line="400" w:lineRule="exact"/>
              <w:ind w:firstLine="0"/>
              <w:jc w:val="center"/>
              <w:rPr>
                <w:rFonts w:ascii="仿宋" w:hAnsi="仿宋" w:eastAsia="仿宋" w:cs="仿宋"/>
                <w:b/>
                <w:color w:val="auto"/>
                <w:kern w:val="2"/>
                <w:sz w:val="21"/>
                <w:szCs w:val="21"/>
              </w:rPr>
            </w:pPr>
            <w:r>
              <w:rPr>
                <w:rFonts w:hint="eastAsia" w:ascii="仿宋" w:hAnsi="仿宋" w:eastAsia="仿宋" w:cs="仿宋"/>
                <w:b/>
                <w:color w:val="auto"/>
                <w:kern w:val="2"/>
                <w:sz w:val="21"/>
                <w:szCs w:val="21"/>
              </w:rPr>
              <w:t>一</w:t>
            </w:r>
          </w:p>
        </w:tc>
        <w:tc>
          <w:tcPr>
            <w:tcW w:w="7715" w:type="dxa"/>
            <w:gridSpan w:val="5"/>
            <w:shd w:val="clear" w:color="auto" w:fill="D9D9D9"/>
            <w:vAlign w:val="center"/>
          </w:tcPr>
          <w:p>
            <w:pPr>
              <w:pStyle w:val="7"/>
              <w:spacing w:line="400" w:lineRule="exact"/>
              <w:ind w:firstLine="0"/>
              <w:jc w:val="center"/>
              <w:rPr>
                <w:rFonts w:ascii="仿宋" w:hAnsi="仿宋" w:eastAsia="仿宋" w:cs="仿宋"/>
                <w:b/>
                <w:color w:val="auto"/>
                <w:kern w:val="2"/>
                <w:sz w:val="21"/>
                <w:szCs w:val="21"/>
              </w:rPr>
            </w:pPr>
            <w:r>
              <w:rPr>
                <w:rFonts w:hint="eastAsia" w:ascii="仿宋" w:hAnsi="仿宋" w:eastAsia="仿宋" w:cs="仿宋"/>
                <w:b/>
                <w:color w:val="auto"/>
                <w:kern w:val="2"/>
                <w:sz w:val="21"/>
                <w:szCs w:val="21"/>
              </w:rPr>
              <w:t>公司基本信息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89"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1</w:t>
            </w:r>
          </w:p>
        </w:tc>
        <w:tc>
          <w:tcPr>
            <w:tcW w:w="1811"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公司名称：</w:t>
            </w:r>
          </w:p>
        </w:tc>
        <w:tc>
          <w:tcPr>
            <w:tcW w:w="1577" w:type="dxa"/>
            <w:vAlign w:val="center"/>
          </w:tcPr>
          <w:p>
            <w:pPr>
              <w:pStyle w:val="7"/>
              <w:spacing w:line="400" w:lineRule="exact"/>
              <w:ind w:firstLine="0"/>
              <w:jc w:val="center"/>
              <w:rPr>
                <w:rFonts w:ascii="仿宋" w:hAnsi="仿宋" w:eastAsia="仿宋" w:cs="仿宋"/>
                <w:color w:val="auto"/>
                <w:kern w:val="2"/>
                <w:sz w:val="21"/>
                <w:szCs w:val="21"/>
              </w:rPr>
            </w:pPr>
          </w:p>
        </w:tc>
        <w:tc>
          <w:tcPr>
            <w:tcW w:w="667"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2</w:t>
            </w:r>
          </w:p>
        </w:tc>
        <w:tc>
          <w:tcPr>
            <w:tcW w:w="1832"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员工人数：</w:t>
            </w:r>
          </w:p>
        </w:tc>
        <w:tc>
          <w:tcPr>
            <w:tcW w:w="1828" w:type="dxa"/>
            <w:vAlign w:val="center"/>
          </w:tcPr>
          <w:p>
            <w:pPr>
              <w:pStyle w:val="7"/>
              <w:spacing w:line="400" w:lineRule="exact"/>
              <w:ind w:firstLine="0"/>
              <w:jc w:val="center"/>
              <w:rPr>
                <w:rFonts w:ascii="仿宋" w:hAnsi="仿宋" w:eastAsia="仿宋" w:cs="仿宋"/>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9"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3</w:t>
            </w:r>
          </w:p>
        </w:tc>
        <w:tc>
          <w:tcPr>
            <w:tcW w:w="1811"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注册资金：</w:t>
            </w:r>
          </w:p>
        </w:tc>
        <w:tc>
          <w:tcPr>
            <w:tcW w:w="1577" w:type="dxa"/>
            <w:vAlign w:val="center"/>
          </w:tcPr>
          <w:p>
            <w:pPr>
              <w:pStyle w:val="7"/>
              <w:spacing w:line="400" w:lineRule="exact"/>
              <w:ind w:firstLine="0"/>
              <w:jc w:val="center"/>
              <w:rPr>
                <w:rFonts w:ascii="仿宋" w:hAnsi="仿宋" w:eastAsia="仿宋" w:cs="仿宋"/>
                <w:color w:val="auto"/>
                <w:kern w:val="2"/>
                <w:sz w:val="21"/>
                <w:szCs w:val="21"/>
              </w:rPr>
            </w:pPr>
          </w:p>
        </w:tc>
        <w:tc>
          <w:tcPr>
            <w:tcW w:w="667"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4</w:t>
            </w:r>
          </w:p>
        </w:tc>
        <w:tc>
          <w:tcPr>
            <w:tcW w:w="1832"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公司地址：</w:t>
            </w:r>
          </w:p>
        </w:tc>
        <w:tc>
          <w:tcPr>
            <w:tcW w:w="1828" w:type="dxa"/>
            <w:vAlign w:val="center"/>
          </w:tcPr>
          <w:p>
            <w:pPr>
              <w:pStyle w:val="7"/>
              <w:spacing w:line="400" w:lineRule="exact"/>
              <w:ind w:firstLine="0"/>
              <w:jc w:val="center"/>
              <w:rPr>
                <w:rFonts w:ascii="仿宋" w:hAnsi="仿宋" w:eastAsia="仿宋" w:cs="仿宋"/>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9"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5</w:t>
            </w:r>
          </w:p>
        </w:tc>
        <w:tc>
          <w:tcPr>
            <w:tcW w:w="1811"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成立日期：</w:t>
            </w:r>
          </w:p>
        </w:tc>
        <w:tc>
          <w:tcPr>
            <w:tcW w:w="1577" w:type="dxa"/>
            <w:vAlign w:val="center"/>
          </w:tcPr>
          <w:p>
            <w:pPr>
              <w:pStyle w:val="7"/>
              <w:spacing w:line="400" w:lineRule="exact"/>
              <w:ind w:firstLine="0"/>
              <w:jc w:val="center"/>
              <w:rPr>
                <w:rFonts w:ascii="仿宋" w:hAnsi="仿宋" w:eastAsia="仿宋" w:cs="仿宋"/>
                <w:color w:val="auto"/>
                <w:kern w:val="2"/>
                <w:sz w:val="21"/>
                <w:szCs w:val="21"/>
              </w:rPr>
            </w:pPr>
          </w:p>
        </w:tc>
        <w:tc>
          <w:tcPr>
            <w:tcW w:w="667"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6</w:t>
            </w:r>
          </w:p>
        </w:tc>
        <w:tc>
          <w:tcPr>
            <w:tcW w:w="1832"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法定代表人（负责人）：</w:t>
            </w:r>
          </w:p>
        </w:tc>
        <w:tc>
          <w:tcPr>
            <w:tcW w:w="1828" w:type="dxa"/>
            <w:vAlign w:val="center"/>
          </w:tcPr>
          <w:p>
            <w:pPr>
              <w:pStyle w:val="7"/>
              <w:spacing w:line="400" w:lineRule="exact"/>
              <w:ind w:firstLine="0"/>
              <w:jc w:val="center"/>
              <w:rPr>
                <w:rFonts w:ascii="仿宋" w:hAnsi="仿宋" w:eastAsia="仿宋" w:cs="仿宋"/>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9"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7</w:t>
            </w:r>
          </w:p>
        </w:tc>
        <w:tc>
          <w:tcPr>
            <w:tcW w:w="1811"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开户银行：</w:t>
            </w:r>
          </w:p>
        </w:tc>
        <w:tc>
          <w:tcPr>
            <w:tcW w:w="1577" w:type="dxa"/>
            <w:vAlign w:val="center"/>
          </w:tcPr>
          <w:p>
            <w:pPr>
              <w:pStyle w:val="7"/>
              <w:spacing w:line="400" w:lineRule="exact"/>
              <w:ind w:firstLine="0"/>
              <w:jc w:val="center"/>
              <w:rPr>
                <w:rFonts w:ascii="仿宋" w:hAnsi="仿宋" w:eastAsia="仿宋" w:cs="仿宋"/>
                <w:color w:val="auto"/>
                <w:kern w:val="2"/>
                <w:sz w:val="21"/>
                <w:szCs w:val="21"/>
              </w:rPr>
            </w:pPr>
          </w:p>
        </w:tc>
        <w:tc>
          <w:tcPr>
            <w:tcW w:w="667"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8</w:t>
            </w:r>
          </w:p>
        </w:tc>
        <w:tc>
          <w:tcPr>
            <w:tcW w:w="1832"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帐号：</w:t>
            </w:r>
          </w:p>
        </w:tc>
        <w:tc>
          <w:tcPr>
            <w:tcW w:w="1828" w:type="dxa"/>
            <w:vAlign w:val="center"/>
          </w:tcPr>
          <w:p>
            <w:pPr>
              <w:pStyle w:val="7"/>
              <w:spacing w:line="400" w:lineRule="exact"/>
              <w:ind w:firstLine="0"/>
              <w:jc w:val="center"/>
              <w:rPr>
                <w:rFonts w:ascii="仿宋" w:hAnsi="仿宋" w:eastAsia="仿宋" w:cs="仿宋"/>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89" w:type="dxa"/>
            <w:tcBorders>
              <w:bottom w:val="single" w:color="auto" w:sz="4" w:space="0"/>
            </w:tcBorders>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9</w:t>
            </w:r>
          </w:p>
        </w:tc>
        <w:tc>
          <w:tcPr>
            <w:tcW w:w="1811" w:type="dxa"/>
            <w:tcBorders>
              <w:bottom w:val="single" w:color="auto" w:sz="4" w:space="0"/>
            </w:tcBorders>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项目联系人：</w:t>
            </w:r>
          </w:p>
        </w:tc>
        <w:tc>
          <w:tcPr>
            <w:tcW w:w="1577" w:type="dxa"/>
            <w:tcBorders>
              <w:bottom w:val="single" w:color="auto" w:sz="4" w:space="0"/>
            </w:tcBorders>
            <w:vAlign w:val="center"/>
          </w:tcPr>
          <w:p>
            <w:pPr>
              <w:pStyle w:val="7"/>
              <w:spacing w:line="400" w:lineRule="exact"/>
              <w:ind w:firstLine="0"/>
              <w:jc w:val="center"/>
              <w:rPr>
                <w:rFonts w:ascii="仿宋" w:hAnsi="仿宋" w:eastAsia="仿宋" w:cs="仿宋"/>
                <w:color w:val="auto"/>
                <w:kern w:val="2"/>
                <w:sz w:val="21"/>
                <w:szCs w:val="21"/>
              </w:rPr>
            </w:pPr>
          </w:p>
        </w:tc>
        <w:tc>
          <w:tcPr>
            <w:tcW w:w="667" w:type="dxa"/>
            <w:tcBorders>
              <w:bottom w:val="single" w:color="auto" w:sz="4" w:space="0"/>
            </w:tcBorders>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10</w:t>
            </w:r>
          </w:p>
        </w:tc>
        <w:tc>
          <w:tcPr>
            <w:tcW w:w="1832" w:type="dxa"/>
            <w:tcBorders>
              <w:bottom w:val="single" w:color="auto" w:sz="4" w:space="0"/>
            </w:tcBorders>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联系电话：</w:t>
            </w:r>
          </w:p>
        </w:tc>
        <w:tc>
          <w:tcPr>
            <w:tcW w:w="1828" w:type="dxa"/>
            <w:tcBorders>
              <w:bottom w:val="single" w:color="auto" w:sz="4" w:space="0"/>
            </w:tcBorders>
            <w:vAlign w:val="center"/>
          </w:tcPr>
          <w:p>
            <w:pPr>
              <w:pStyle w:val="7"/>
              <w:spacing w:line="400" w:lineRule="exact"/>
              <w:ind w:firstLine="0"/>
              <w:jc w:val="center"/>
              <w:rPr>
                <w:rFonts w:ascii="仿宋" w:hAnsi="仿宋" w:eastAsia="仿宋" w:cs="仿宋"/>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89" w:type="dxa"/>
            <w:shd w:val="clear" w:color="auto" w:fill="D9D9D9"/>
            <w:vAlign w:val="center"/>
          </w:tcPr>
          <w:p>
            <w:pPr>
              <w:pStyle w:val="7"/>
              <w:spacing w:line="400" w:lineRule="exact"/>
              <w:ind w:firstLine="0"/>
              <w:jc w:val="center"/>
              <w:rPr>
                <w:rFonts w:ascii="仿宋" w:hAnsi="仿宋" w:eastAsia="仿宋" w:cs="仿宋"/>
                <w:b/>
                <w:color w:val="auto"/>
                <w:kern w:val="2"/>
                <w:sz w:val="21"/>
                <w:szCs w:val="21"/>
              </w:rPr>
            </w:pPr>
            <w:r>
              <w:rPr>
                <w:rFonts w:hint="eastAsia" w:ascii="仿宋" w:hAnsi="仿宋" w:eastAsia="仿宋" w:cs="仿宋"/>
                <w:b/>
                <w:color w:val="auto"/>
                <w:kern w:val="2"/>
                <w:sz w:val="21"/>
                <w:szCs w:val="21"/>
              </w:rPr>
              <w:t>二</w:t>
            </w:r>
          </w:p>
        </w:tc>
        <w:tc>
          <w:tcPr>
            <w:tcW w:w="7715" w:type="dxa"/>
            <w:gridSpan w:val="5"/>
            <w:shd w:val="clear" w:color="auto" w:fill="D9D9D9"/>
            <w:vAlign w:val="center"/>
          </w:tcPr>
          <w:p>
            <w:pPr>
              <w:pStyle w:val="7"/>
              <w:spacing w:line="400" w:lineRule="exact"/>
              <w:ind w:firstLine="0"/>
              <w:jc w:val="center"/>
              <w:rPr>
                <w:rFonts w:ascii="仿宋" w:hAnsi="仿宋" w:eastAsia="仿宋" w:cs="仿宋"/>
                <w:b/>
                <w:color w:val="auto"/>
                <w:kern w:val="2"/>
                <w:sz w:val="21"/>
                <w:szCs w:val="21"/>
              </w:rPr>
            </w:pPr>
            <w:r>
              <w:rPr>
                <w:rFonts w:hint="eastAsia" w:ascii="仿宋" w:hAnsi="仿宋" w:eastAsia="仿宋" w:cs="仿宋"/>
                <w:b/>
                <w:color w:val="auto"/>
                <w:kern w:val="2"/>
                <w:sz w:val="21"/>
                <w:szCs w:val="21"/>
              </w:rPr>
              <w:t>公司财务状况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89" w:type="dxa"/>
            <w:vAlign w:val="center"/>
          </w:tcPr>
          <w:p>
            <w:pPr>
              <w:pStyle w:val="7"/>
              <w:spacing w:line="400" w:lineRule="exact"/>
              <w:ind w:firstLine="0"/>
              <w:jc w:val="center"/>
              <w:rPr>
                <w:rFonts w:ascii="仿宋" w:hAnsi="仿宋" w:eastAsia="仿宋" w:cs="仿宋"/>
                <w:b/>
                <w:color w:val="auto"/>
                <w:kern w:val="2"/>
                <w:sz w:val="21"/>
                <w:szCs w:val="21"/>
              </w:rPr>
            </w:pPr>
          </w:p>
        </w:tc>
        <w:tc>
          <w:tcPr>
            <w:tcW w:w="7715" w:type="dxa"/>
            <w:gridSpan w:val="5"/>
            <w:vAlign w:val="center"/>
          </w:tcPr>
          <w:p>
            <w:pPr>
              <w:pStyle w:val="7"/>
              <w:spacing w:line="400" w:lineRule="exact"/>
              <w:ind w:firstLine="0"/>
              <w:jc w:val="center"/>
              <w:rPr>
                <w:rFonts w:ascii="仿宋" w:hAnsi="仿宋" w:eastAsia="仿宋" w:cs="仿宋"/>
                <w:b/>
                <w:color w:val="auto"/>
                <w:kern w:val="2"/>
                <w:sz w:val="21"/>
                <w:szCs w:val="21"/>
              </w:rPr>
            </w:pPr>
            <w:r>
              <w:rPr>
                <w:rFonts w:hint="eastAsia" w:ascii="仿宋" w:hAnsi="仿宋" w:eastAsia="仿宋" w:cs="仿宋"/>
                <w:b/>
                <w:color w:val="auto"/>
                <w:kern w:val="2"/>
                <w:sz w:val="21"/>
                <w:szCs w:val="21"/>
              </w:rPr>
              <w:t>20240.年度财务状况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89"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1</w:t>
            </w:r>
          </w:p>
        </w:tc>
        <w:tc>
          <w:tcPr>
            <w:tcW w:w="1811"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营业收入（万）：</w:t>
            </w:r>
          </w:p>
        </w:tc>
        <w:tc>
          <w:tcPr>
            <w:tcW w:w="1577" w:type="dxa"/>
            <w:vAlign w:val="center"/>
          </w:tcPr>
          <w:p>
            <w:pPr>
              <w:pStyle w:val="7"/>
              <w:spacing w:line="400" w:lineRule="exact"/>
              <w:ind w:firstLine="0"/>
              <w:jc w:val="center"/>
              <w:rPr>
                <w:rFonts w:ascii="仿宋" w:hAnsi="仿宋" w:eastAsia="仿宋" w:cs="仿宋"/>
                <w:color w:val="auto"/>
                <w:kern w:val="2"/>
                <w:sz w:val="21"/>
                <w:szCs w:val="21"/>
              </w:rPr>
            </w:pPr>
          </w:p>
        </w:tc>
        <w:tc>
          <w:tcPr>
            <w:tcW w:w="667"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2</w:t>
            </w:r>
          </w:p>
        </w:tc>
        <w:tc>
          <w:tcPr>
            <w:tcW w:w="1832"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利润总额（万）：</w:t>
            </w:r>
          </w:p>
        </w:tc>
        <w:tc>
          <w:tcPr>
            <w:tcW w:w="1828" w:type="dxa"/>
            <w:vAlign w:val="center"/>
          </w:tcPr>
          <w:p>
            <w:pPr>
              <w:pStyle w:val="7"/>
              <w:spacing w:line="400" w:lineRule="exact"/>
              <w:ind w:firstLine="0"/>
              <w:jc w:val="center"/>
              <w:rPr>
                <w:rFonts w:ascii="仿宋" w:hAnsi="仿宋" w:eastAsia="仿宋" w:cs="仿宋"/>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jc w:val="center"/>
        </w:trPr>
        <w:tc>
          <w:tcPr>
            <w:tcW w:w="789"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3</w:t>
            </w:r>
          </w:p>
        </w:tc>
        <w:tc>
          <w:tcPr>
            <w:tcW w:w="1811"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年末“固定资产合计”（万）：</w:t>
            </w:r>
          </w:p>
        </w:tc>
        <w:tc>
          <w:tcPr>
            <w:tcW w:w="1577" w:type="dxa"/>
            <w:vAlign w:val="center"/>
          </w:tcPr>
          <w:p>
            <w:pPr>
              <w:pStyle w:val="7"/>
              <w:spacing w:line="400" w:lineRule="exact"/>
              <w:ind w:firstLine="0"/>
              <w:jc w:val="center"/>
              <w:rPr>
                <w:rFonts w:ascii="仿宋" w:hAnsi="仿宋" w:eastAsia="仿宋" w:cs="仿宋"/>
                <w:color w:val="auto"/>
                <w:kern w:val="2"/>
                <w:sz w:val="21"/>
                <w:szCs w:val="21"/>
              </w:rPr>
            </w:pPr>
          </w:p>
        </w:tc>
        <w:tc>
          <w:tcPr>
            <w:tcW w:w="667"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4</w:t>
            </w:r>
          </w:p>
        </w:tc>
        <w:tc>
          <w:tcPr>
            <w:tcW w:w="1832"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年末“流动资产”余额（万）：</w:t>
            </w:r>
          </w:p>
        </w:tc>
        <w:tc>
          <w:tcPr>
            <w:tcW w:w="1828" w:type="dxa"/>
            <w:vAlign w:val="center"/>
          </w:tcPr>
          <w:p>
            <w:pPr>
              <w:pStyle w:val="7"/>
              <w:spacing w:line="400" w:lineRule="exact"/>
              <w:ind w:firstLine="0"/>
              <w:jc w:val="center"/>
              <w:rPr>
                <w:rFonts w:ascii="仿宋" w:hAnsi="仿宋" w:eastAsia="仿宋" w:cs="仿宋"/>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9"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5</w:t>
            </w:r>
          </w:p>
        </w:tc>
        <w:tc>
          <w:tcPr>
            <w:tcW w:w="1811"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年末“短期负债”余额（万）：</w:t>
            </w:r>
          </w:p>
        </w:tc>
        <w:tc>
          <w:tcPr>
            <w:tcW w:w="1577" w:type="dxa"/>
            <w:vAlign w:val="center"/>
          </w:tcPr>
          <w:p>
            <w:pPr>
              <w:pStyle w:val="7"/>
              <w:spacing w:line="400" w:lineRule="exact"/>
              <w:ind w:firstLine="0"/>
              <w:jc w:val="center"/>
              <w:rPr>
                <w:rFonts w:ascii="仿宋" w:hAnsi="仿宋" w:eastAsia="仿宋" w:cs="仿宋"/>
                <w:color w:val="auto"/>
                <w:kern w:val="2"/>
                <w:sz w:val="21"/>
                <w:szCs w:val="21"/>
              </w:rPr>
            </w:pPr>
          </w:p>
        </w:tc>
        <w:tc>
          <w:tcPr>
            <w:tcW w:w="667"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6</w:t>
            </w:r>
          </w:p>
        </w:tc>
        <w:tc>
          <w:tcPr>
            <w:tcW w:w="1832"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年末“长期负债”余额（万）：</w:t>
            </w:r>
          </w:p>
        </w:tc>
        <w:tc>
          <w:tcPr>
            <w:tcW w:w="1828" w:type="dxa"/>
            <w:vAlign w:val="center"/>
          </w:tcPr>
          <w:p>
            <w:pPr>
              <w:pStyle w:val="7"/>
              <w:spacing w:line="400" w:lineRule="exact"/>
              <w:ind w:firstLine="0"/>
              <w:jc w:val="center"/>
              <w:rPr>
                <w:rFonts w:ascii="仿宋" w:hAnsi="仿宋" w:eastAsia="仿宋" w:cs="仿宋"/>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89" w:type="dxa"/>
            <w:tcBorders>
              <w:bottom w:val="single" w:color="auto" w:sz="4" w:space="0"/>
            </w:tcBorders>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7</w:t>
            </w:r>
          </w:p>
        </w:tc>
        <w:tc>
          <w:tcPr>
            <w:tcW w:w="1811" w:type="dxa"/>
            <w:tcBorders>
              <w:bottom w:val="single" w:color="auto" w:sz="4" w:space="0"/>
            </w:tcBorders>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年末“资产总计”余额（万）：</w:t>
            </w:r>
          </w:p>
        </w:tc>
        <w:tc>
          <w:tcPr>
            <w:tcW w:w="1577" w:type="dxa"/>
            <w:tcBorders>
              <w:bottom w:val="single" w:color="auto" w:sz="4" w:space="0"/>
            </w:tcBorders>
            <w:vAlign w:val="center"/>
          </w:tcPr>
          <w:p>
            <w:pPr>
              <w:pStyle w:val="7"/>
              <w:spacing w:line="400" w:lineRule="exact"/>
              <w:ind w:firstLine="0"/>
              <w:jc w:val="center"/>
              <w:rPr>
                <w:rFonts w:ascii="仿宋" w:hAnsi="仿宋" w:eastAsia="仿宋" w:cs="仿宋"/>
                <w:color w:val="auto"/>
                <w:kern w:val="2"/>
                <w:sz w:val="21"/>
                <w:szCs w:val="21"/>
              </w:rPr>
            </w:pPr>
          </w:p>
        </w:tc>
        <w:tc>
          <w:tcPr>
            <w:tcW w:w="667" w:type="dxa"/>
            <w:tcBorders>
              <w:bottom w:val="single" w:color="auto" w:sz="4" w:space="0"/>
            </w:tcBorders>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8</w:t>
            </w:r>
          </w:p>
        </w:tc>
        <w:tc>
          <w:tcPr>
            <w:tcW w:w="1832" w:type="dxa"/>
            <w:tcBorders>
              <w:bottom w:val="single" w:color="auto" w:sz="4" w:space="0"/>
            </w:tcBorders>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年末“货币资金”余额（万）：</w:t>
            </w:r>
          </w:p>
        </w:tc>
        <w:tc>
          <w:tcPr>
            <w:tcW w:w="1828" w:type="dxa"/>
            <w:tcBorders>
              <w:bottom w:val="single" w:color="auto" w:sz="4" w:space="0"/>
            </w:tcBorders>
            <w:vAlign w:val="center"/>
          </w:tcPr>
          <w:p>
            <w:pPr>
              <w:pStyle w:val="7"/>
              <w:spacing w:line="400" w:lineRule="exact"/>
              <w:ind w:firstLine="0"/>
              <w:jc w:val="center"/>
              <w:rPr>
                <w:rFonts w:ascii="仿宋" w:hAnsi="仿宋" w:eastAsia="仿宋" w:cs="仿宋"/>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9" w:type="dxa"/>
            <w:shd w:val="clear" w:color="auto" w:fill="D9D9D9"/>
            <w:vAlign w:val="center"/>
          </w:tcPr>
          <w:p>
            <w:pPr>
              <w:pStyle w:val="7"/>
              <w:spacing w:line="400" w:lineRule="exact"/>
              <w:ind w:firstLine="0"/>
              <w:jc w:val="center"/>
              <w:rPr>
                <w:rFonts w:ascii="仿宋" w:hAnsi="仿宋" w:eastAsia="仿宋" w:cs="仿宋"/>
                <w:b/>
                <w:color w:val="auto"/>
                <w:kern w:val="2"/>
                <w:sz w:val="21"/>
                <w:szCs w:val="21"/>
              </w:rPr>
            </w:pPr>
            <w:r>
              <w:rPr>
                <w:rFonts w:hint="eastAsia" w:ascii="仿宋" w:hAnsi="仿宋" w:eastAsia="仿宋" w:cs="仿宋"/>
                <w:b/>
                <w:color w:val="auto"/>
                <w:kern w:val="2"/>
                <w:sz w:val="21"/>
                <w:szCs w:val="21"/>
              </w:rPr>
              <w:t>三</w:t>
            </w:r>
          </w:p>
        </w:tc>
        <w:tc>
          <w:tcPr>
            <w:tcW w:w="7715" w:type="dxa"/>
            <w:gridSpan w:val="5"/>
            <w:shd w:val="clear" w:color="auto" w:fill="D9D9D9"/>
            <w:vAlign w:val="center"/>
          </w:tcPr>
          <w:p>
            <w:pPr>
              <w:pStyle w:val="7"/>
              <w:spacing w:line="400" w:lineRule="exact"/>
              <w:ind w:firstLine="0"/>
              <w:jc w:val="center"/>
              <w:rPr>
                <w:rFonts w:ascii="仿宋" w:hAnsi="仿宋" w:eastAsia="仿宋" w:cs="仿宋"/>
                <w:b/>
                <w:color w:val="auto"/>
                <w:kern w:val="2"/>
                <w:sz w:val="21"/>
                <w:szCs w:val="21"/>
              </w:rPr>
            </w:pPr>
            <w:r>
              <w:rPr>
                <w:rFonts w:hint="eastAsia" w:ascii="仿宋" w:hAnsi="仿宋" w:eastAsia="仿宋" w:cs="仿宋"/>
                <w:b/>
                <w:color w:val="auto"/>
                <w:kern w:val="2"/>
                <w:sz w:val="21"/>
                <w:szCs w:val="21"/>
              </w:rPr>
              <w:t>供应商其他信息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89"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（一）</w:t>
            </w:r>
          </w:p>
        </w:tc>
        <w:tc>
          <w:tcPr>
            <w:tcW w:w="1811"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相关资质及等级</w:t>
            </w:r>
          </w:p>
        </w:tc>
        <w:tc>
          <w:tcPr>
            <w:tcW w:w="5904" w:type="dxa"/>
            <w:gridSpan w:val="4"/>
            <w:vAlign w:val="center"/>
          </w:tcPr>
          <w:p>
            <w:pPr>
              <w:pStyle w:val="7"/>
              <w:spacing w:line="400" w:lineRule="exact"/>
              <w:ind w:firstLine="0"/>
              <w:jc w:val="center"/>
              <w:rPr>
                <w:rFonts w:ascii="仿宋" w:hAnsi="仿宋" w:eastAsia="仿宋" w:cs="仿宋"/>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789"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（二）</w:t>
            </w:r>
          </w:p>
        </w:tc>
        <w:tc>
          <w:tcPr>
            <w:tcW w:w="1811" w:type="dxa"/>
            <w:vAlign w:val="center"/>
          </w:tcPr>
          <w:p>
            <w:pPr>
              <w:pStyle w:val="7"/>
              <w:spacing w:line="400" w:lineRule="exact"/>
              <w:ind w:firstLine="0"/>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2022年以来获得的荣誉及表彰情况</w:t>
            </w:r>
          </w:p>
        </w:tc>
        <w:tc>
          <w:tcPr>
            <w:tcW w:w="5904" w:type="dxa"/>
            <w:gridSpan w:val="4"/>
            <w:vAlign w:val="center"/>
          </w:tcPr>
          <w:p>
            <w:pPr>
              <w:pStyle w:val="7"/>
              <w:spacing w:line="400" w:lineRule="exact"/>
              <w:ind w:firstLine="0"/>
              <w:jc w:val="center"/>
              <w:rPr>
                <w:rFonts w:ascii="仿宋" w:hAnsi="仿宋" w:eastAsia="仿宋" w:cs="仿宋"/>
                <w:color w:val="auto"/>
                <w:kern w:val="2"/>
                <w:sz w:val="21"/>
                <w:szCs w:val="21"/>
              </w:rPr>
            </w:pPr>
          </w:p>
        </w:tc>
      </w:tr>
    </w:tbl>
    <w:p>
      <w:pPr>
        <w:pStyle w:val="3"/>
        <w:spacing w:line="240" w:lineRule="auto"/>
        <w:jc w:val="both"/>
        <w:rPr>
          <w:rFonts w:ascii="仿宋" w:hAnsi="仿宋" w:eastAsia="仿宋" w:cs="仿宋"/>
          <w:color w:val="auto"/>
          <w:sz w:val="30"/>
          <w:szCs w:val="30"/>
        </w:rPr>
        <w:sectPr>
          <w:footerReference r:id="rId9" w:type="first"/>
          <w:pgSz w:w="11906" w:h="16838"/>
          <w:pgMar w:top="1440" w:right="1800" w:bottom="1440" w:left="1800" w:header="851" w:footer="992" w:gutter="0"/>
          <w:cols w:space="720" w:num="1"/>
          <w:docGrid w:linePitch="290" w:charSpace="0"/>
        </w:sectPr>
      </w:pPr>
    </w:p>
    <w:bookmarkEnd w:id="158"/>
    <w:bookmarkEnd w:id="159"/>
    <w:p>
      <w:pPr>
        <w:pStyle w:val="3"/>
        <w:spacing w:line="240" w:lineRule="auto"/>
        <w:rPr>
          <w:rFonts w:ascii="仿宋" w:hAnsi="仿宋" w:eastAsia="仿宋" w:cs="仿宋"/>
          <w:color w:val="auto"/>
          <w:sz w:val="30"/>
          <w:szCs w:val="30"/>
        </w:rPr>
      </w:pPr>
      <w:bookmarkStart w:id="161" w:name="_Toc105940953"/>
      <w:bookmarkStart w:id="162" w:name="_Toc105940871"/>
      <w:r>
        <w:rPr>
          <w:rFonts w:hint="eastAsia" w:ascii="仿宋" w:hAnsi="仿宋" w:eastAsia="仿宋" w:cs="仿宋"/>
          <w:bCs/>
          <w:color w:val="auto"/>
          <w:sz w:val="30"/>
          <w:szCs w:val="30"/>
        </w:rPr>
        <w:t>四、本项目组织架构及主要参与人员情况介绍</w:t>
      </w:r>
      <w:bookmarkEnd w:id="161"/>
      <w:bookmarkEnd w:id="162"/>
    </w:p>
    <w:p>
      <w:pPr>
        <w:jc w:val="center"/>
        <w:rPr>
          <w:rFonts w:ascii="仿宋" w:hAnsi="仿宋" w:eastAsia="仿宋" w:cs="仿宋"/>
          <w:color w:val="auto"/>
          <w:sz w:val="28"/>
          <w:szCs w:val="36"/>
        </w:rPr>
      </w:pPr>
      <w:r>
        <w:rPr>
          <w:rFonts w:hint="eastAsia" w:ascii="仿宋" w:hAnsi="仿宋" w:eastAsia="仿宋" w:cs="仿宋"/>
          <w:color w:val="auto"/>
          <w:sz w:val="28"/>
          <w:szCs w:val="36"/>
        </w:rPr>
        <w:t>由各供应商根据本项目特点对组织管理架构进行描述，格式自拟。</w:t>
      </w:r>
    </w:p>
    <w:p>
      <w:pPr>
        <w:spacing w:before="240" w:beforeLines="100" w:after="240" w:afterLines="100"/>
        <w:jc w:val="center"/>
        <w:outlineLvl w:val="2"/>
        <w:rPr>
          <w:rFonts w:ascii="仿宋" w:hAnsi="仿宋" w:eastAsia="仿宋" w:cs="仿宋"/>
          <w:b/>
          <w:bCs/>
          <w:color w:val="auto"/>
          <w:sz w:val="28"/>
          <w:szCs w:val="28"/>
        </w:rPr>
      </w:pPr>
      <w:bookmarkStart w:id="163" w:name="_Toc105940954"/>
      <w:bookmarkStart w:id="164" w:name="_Toc105940872"/>
      <w:bookmarkStart w:id="165" w:name="_Toc100386081"/>
      <w:r>
        <w:rPr>
          <w:rFonts w:hint="eastAsia" w:ascii="仿宋" w:hAnsi="仿宋" w:eastAsia="仿宋" w:cs="仿宋"/>
          <w:b/>
          <w:bCs/>
          <w:color w:val="auto"/>
          <w:sz w:val="28"/>
          <w:szCs w:val="28"/>
        </w:rPr>
        <w:t>（一）本项目拟投入人员配备一览表</w:t>
      </w:r>
      <w:bookmarkEnd w:id="163"/>
      <w:bookmarkEnd w:id="164"/>
    </w:p>
    <w:tbl>
      <w:tblPr>
        <w:tblStyle w:val="3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740"/>
        <w:gridCol w:w="1252"/>
        <w:gridCol w:w="1252"/>
        <w:gridCol w:w="2018"/>
        <w:gridCol w:w="1763"/>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0" w:type="auto"/>
            <w:vAlign w:val="center"/>
          </w:tcPr>
          <w:p>
            <w:pPr>
              <w:jc w:val="center"/>
              <w:rPr>
                <w:rFonts w:ascii="仿宋" w:hAnsi="仿宋" w:eastAsia="仿宋" w:cs="仿宋"/>
                <w:b/>
                <w:color w:val="auto"/>
                <w:sz w:val="24"/>
              </w:rPr>
            </w:pPr>
            <w:r>
              <w:rPr>
                <w:rFonts w:hint="eastAsia" w:ascii="仿宋" w:hAnsi="仿宋" w:eastAsia="仿宋" w:cs="仿宋"/>
                <w:b/>
                <w:color w:val="auto"/>
                <w:sz w:val="24"/>
              </w:rPr>
              <w:t>岗位</w:t>
            </w:r>
          </w:p>
        </w:tc>
        <w:tc>
          <w:tcPr>
            <w:tcW w:w="0" w:type="auto"/>
            <w:vAlign w:val="center"/>
          </w:tcPr>
          <w:p>
            <w:pPr>
              <w:jc w:val="center"/>
              <w:rPr>
                <w:rFonts w:ascii="仿宋" w:hAnsi="仿宋" w:eastAsia="仿宋" w:cs="仿宋"/>
                <w:b/>
                <w:color w:val="auto"/>
                <w:sz w:val="24"/>
              </w:rPr>
            </w:pPr>
            <w:r>
              <w:rPr>
                <w:rFonts w:hint="eastAsia" w:ascii="仿宋" w:hAnsi="仿宋" w:eastAsia="仿宋" w:cs="仿宋"/>
                <w:b/>
                <w:color w:val="auto"/>
                <w:sz w:val="24"/>
              </w:rPr>
              <w:t>姓名</w:t>
            </w:r>
          </w:p>
        </w:tc>
        <w:tc>
          <w:tcPr>
            <w:tcW w:w="1251" w:type="dxa"/>
            <w:vAlign w:val="center"/>
          </w:tcPr>
          <w:p>
            <w:pPr>
              <w:jc w:val="center"/>
              <w:rPr>
                <w:rFonts w:ascii="仿宋" w:hAnsi="仿宋" w:eastAsia="仿宋" w:cs="仿宋"/>
                <w:b/>
                <w:color w:val="auto"/>
                <w:sz w:val="24"/>
              </w:rPr>
            </w:pPr>
            <w:r>
              <w:rPr>
                <w:rFonts w:hint="eastAsia" w:ascii="仿宋" w:hAnsi="仿宋" w:eastAsia="仿宋" w:cs="仿宋"/>
                <w:b/>
                <w:color w:val="auto"/>
                <w:sz w:val="24"/>
              </w:rPr>
              <w:t>身份证号</w:t>
            </w:r>
          </w:p>
        </w:tc>
        <w:tc>
          <w:tcPr>
            <w:tcW w:w="1251" w:type="dxa"/>
            <w:vAlign w:val="center"/>
          </w:tcPr>
          <w:p>
            <w:pPr>
              <w:jc w:val="center"/>
              <w:rPr>
                <w:rFonts w:ascii="仿宋" w:hAnsi="仿宋" w:eastAsia="仿宋" w:cs="仿宋"/>
                <w:b/>
                <w:color w:val="auto"/>
                <w:sz w:val="24"/>
              </w:rPr>
            </w:pPr>
            <w:r>
              <w:rPr>
                <w:rFonts w:hint="eastAsia" w:ascii="仿宋" w:hAnsi="仿宋" w:eastAsia="仿宋" w:cs="仿宋"/>
                <w:b/>
                <w:color w:val="auto"/>
                <w:sz w:val="24"/>
              </w:rPr>
              <w:t>人员类别</w:t>
            </w:r>
          </w:p>
        </w:tc>
        <w:tc>
          <w:tcPr>
            <w:tcW w:w="0" w:type="auto"/>
            <w:vAlign w:val="center"/>
          </w:tcPr>
          <w:p>
            <w:pPr>
              <w:jc w:val="center"/>
              <w:rPr>
                <w:rFonts w:ascii="仿宋" w:hAnsi="仿宋" w:eastAsia="仿宋" w:cs="仿宋"/>
                <w:b/>
                <w:color w:val="auto"/>
                <w:sz w:val="24"/>
              </w:rPr>
            </w:pPr>
            <w:r>
              <w:rPr>
                <w:rFonts w:hint="eastAsia" w:ascii="仿宋" w:hAnsi="仿宋" w:eastAsia="仿宋" w:cs="仿宋"/>
                <w:b/>
                <w:color w:val="auto"/>
                <w:sz w:val="24"/>
              </w:rPr>
              <w:t>技术证书、级别</w:t>
            </w:r>
          </w:p>
        </w:tc>
        <w:tc>
          <w:tcPr>
            <w:tcW w:w="0" w:type="auto"/>
            <w:vAlign w:val="center"/>
          </w:tcPr>
          <w:p>
            <w:pPr>
              <w:jc w:val="center"/>
              <w:rPr>
                <w:rFonts w:ascii="仿宋" w:hAnsi="仿宋" w:eastAsia="仿宋" w:cs="仿宋"/>
                <w:b/>
                <w:color w:val="auto"/>
                <w:sz w:val="24"/>
              </w:rPr>
            </w:pPr>
            <w:r>
              <w:rPr>
                <w:rFonts w:hint="eastAsia" w:ascii="仿宋" w:hAnsi="仿宋" w:eastAsia="仿宋" w:cs="仿宋"/>
                <w:b/>
                <w:color w:val="auto"/>
                <w:sz w:val="24"/>
              </w:rPr>
              <w:t>类似工作经验</w:t>
            </w:r>
          </w:p>
        </w:tc>
        <w:tc>
          <w:tcPr>
            <w:tcW w:w="0" w:type="auto"/>
            <w:vAlign w:val="center"/>
          </w:tcPr>
          <w:p>
            <w:pPr>
              <w:jc w:val="center"/>
              <w:rPr>
                <w:rFonts w:ascii="仿宋" w:hAnsi="仿宋" w:eastAsia="仿宋" w:cs="仿宋"/>
                <w:b/>
                <w:color w:val="auto"/>
                <w:sz w:val="24"/>
              </w:rPr>
            </w:pPr>
            <w:r>
              <w:rPr>
                <w:rFonts w:hint="eastAsia" w:ascii="仿宋" w:hAnsi="仿宋" w:eastAsia="仿宋" w:cs="仿宋"/>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1251" w:type="dxa"/>
            <w:vAlign w:val="center"/>
          </w:tcPr>
          <w:p>
            <w:pPr>
              <w:jc w:val="center"/>
              <w:rPr>
                <w:rFonts w:ascii="仿宋" w:hAnsi="仿宋" w:eastAsia="仿宋" w:cs="仿宋"/>
                <w:b/>
                <w:color w:val="auto"/>
                <w:sz w:val="24"/>
              </w:rPr>
            </w:pPr>
          </w:p>
        </w:tc>
        <w:tc>
          <w:tcPr>
            <w:tcW w:w="1251" w:type="dxa"/>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1251" w:type="dxa"/>
            <w:vAlign w:val="center"/>
          </w:tcPr>
          <w:p>
            <w:pPr>
              <w:jc w:val="center"/>
              <w:rPr>
                <w:rFonts w:ascii="仿宋" w:hAnsi="仿宋" w:eastAsia="仿宋" w:cs="仿宋"/>
                <w:b/>
                <w:color w:val="auto"/>
                <w:sz w:val="24"/>
              </w:rPr>
            </w:pPr>
          </w:p>
        </w:tc>
        <w:tc>
          <w:tcPr>
            <w:tcW w:w="1251" w:type="dxa"/>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1251" w:type="dxa"/>
            <w:vAlign w:val="center"/>
          </w:tcPr>
          <w:p>
            <w:pPr>
              <w:jc w:val="center"/>
              <w:rPr>
                <w:rFonts w:ascii="仿宋" w:hAnsi="仿宋" w:eastAsia="仿宋" w:cs="仿宋"/>
                <w:b/>
                <w:color w:val="auto"/>
                <w:sz w:val="24"/>
              </w:rPr>
            </w:pPr>
          </w:p>
        </w:tc>
        <w:tc>
          <w:tcPr>
            <w:tcW w:w="1251" w:type="dxa"/>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1251" w:type="dxa"/>
            <w:vAlign w:val="center"/>
          </w:tcPr>
          <w:p>
            <w:pPr>
              <w:jc w:val="center"/>
              <w:rPr>
                <w:rFonts w:ascii="仿宋" w:hAnsi="仿宋" w:eastAsia="仿宋" w:cs="仿宋"/>
                <w:b/>
                <w:color w:val="auto"/>
                <w:sz w:val="24"/>
              </w:rPr>
            </w:pPr>
          </w:p>
        </w:tc>
        <w:tc>
          <w:tcPr>
            <w:tcW w:w="1251" w:type="dxa"/>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1251" w:type="dxa"/>
            <w:vAlign w:val="center"/>
          </w:tcPr>
          <w:p>
            <w:pPr>
              <w:jc w:val="center"/>
              <w:rPr>
                <w:rFonts w:ascii="仿宋" w:hAnsi="仿宋" w:eastAsia="仿宋" w:cs="仿宋"/>
                <w:b/>
                <w:color w:val="auto"/>
                <w:sz w:val="24"/>
              </w:rPr>
            </w:pPr>
          </w:p>
        </w:tc>
        <w:tc>
          <w:tcPr>
            <w:tcW w:w="1251" w:type="dxa"/>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1251" w:type="dxa"/>
            <w:vAlign w:val="center"/>
          </w:tcPr>
          <w:p>
            <w:pPr>
              <w:jc w:val="center"/>
              <w:rPr>
                <w:rFonts w:ascii="仿宋" w:hAnsi="仿宋" w:eastAsia="仿宋" w:cs="仿宋"/>
                <w:b/>
                <w:color w:val="auto"/>
                <w:sz w:val="24"/>
              </w:rPr>
            </w:pPr>
          </w:p>
        </w:tc>
        <w:tc>
          <w:tcPr>
            <w:tcW w:w="1251" w:type="dxa"/>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c>
          <w:tcPr>
            <w:tcW w:w="0" w:type="auto"/>
            <w:vAlign w:val="center"/>
          </w:tcPr>
          <w:p>
            <w:pPr>
              <w:jc w:val="center"/>
              <w:rPr>
                <w:rFonts w:ascii="仿宋" w:hAnsi="仿宋" w:eastAsia="仿宋" w:cs="仿宋"/>
                <w:b/>
                <w:color w:val="auto"/>
                <w:sz w:val="24"/>
              </w:rPr>
            </w:pPr>
          </w:p>
        </w:tc>
      </w:tr>
    </w:tbl>
    <w:p>
      <w:pPr>
        <w:pStyle w:val="7"/>
        <w:spacing w:before="120" w:beforeLines="50"/>
        <w:ind w:firstLine="0"/>
        <w:rPr>
          <w:rFonts w:ascii="仿宋" w:hAnsi="仿宋" w:eastAsia="仿宋" w:cs="仿宋"/>
          <w:b/>
          <w:color w:val="auto"/>
          <w:sz w:val="24"/>
        </w:rPr>
      </w:pPr>
      <w:r>
        <w:rPr>
          <w:rFonts w:hint="eastAsia" w:ascii="仿宋" w:hAnsi="仿宋" w:eastAsia="仿宋" w:cs="仿宋"/>
          <w:b/>
          <w:color w:val="auto"/>
          <w:sz w:val="24"/>
        </w:rPr>
        <w:t>备注：</w:t>
      </w:r>
    </w:p>
    <w:p>
      <w:pPr>
        <w:pStyle w:val="7"/>
        <w:spacing w:before="120" w:beforeLines="50" w:line="360" w:lineRule="auto"/>
        <w:ind w:firstLine="480" w:firstLineChars="200"/>
        <w:rPr>
          <w:rFonts w:ascii="仿宋" w:hAnsi="仿宋" w:eastAsia="仿宋" w:cs="仿宋"/>
          <w:bCs/>
          <w:color w:val="auto"/>
          <w:sz w:val="24"/>
          <w:u w:val="single"/>
        </w:rPr>
      </w:pPr>
      <w:r>
        <w:rPr>
          <w:rFonts w:hint="eastAsia" w:ascii="仿宋" w:hAnsi="仿宋" w:eastAsia="仿宋" w:cs="仿宋"/>
          <w:color w:val="auto"/>
          <w:sz w:val="24"/>
        </w:rPr>
        <w:t>1、</w:t>
      </w:r>
      <w:r>
        <w:rPr>
          <w:rFonts w:hint="eastAsia" w:ascii="仿宋" w:hAnsi="仿宋" w:eastAsia="仿宋" w:cs="仿宋"/>
          <w:color w:val="auto"/>
          <w:sz w:val="24"/>
          <w:u w:val="single"/>
        </w:rPr>
        <w:t>行数不够，请自行添加。</w:t>
      </w:r>
    </w:p>
    <w:p>
      <w:pPr>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2、</w:t>
      </w:r>
      <w:r>
        <w:rPr>
          <w:rFonts w:hint="eastAsia" w:ascii="仿宋" w:hAnsi="仿宋" w:eastAsia="仿宋" w:cs="仿宋"/>
          <w:bCs/>
          <w:color w:val="auto"/>
          <w:sz w:val="24"/>
          <w:u w:val="single"/>
        </w:rPr>
        <w:t>列入本表人员如要更换，需经采购人同意，擅自更换属违约行为。</w:t>
      </w:r>
    </w:p>
    <w:p>
      <w:pPr>
        <w:spacing w:before="260" w:after="260" w:line="360" w:lineRule="auto"/>
        <w:jc w:val="center"/>
        <w:outlineLvl w:val="2"/>
        <w:rPr>
          <w:rFonts w:ascii="仿宋" w:hAnsi="仿宋" w:eastAsia="仿宋" w:cs="仿宋"/>
          <w:b/>
          <w:bCs/>
          <w:color w:val="auto"/>
          <w:sz w:val="36"/>
          <w:szCs w:val="36"/>
        </w:rPr>
      </w:pPr>
      <w:r>
        <w:rPr>
          <w:rFonts w:hint="eastAsia" w:ascii="仿宋" w:hAnsi="仿宋" w:eastAsia="仿宋" w:cs="仿宋"/>
          <w:b/>
          <w:color w:val="auto"/>
          <w:sz w:val="24"/>
        </w:rPr>
        <w:br w:type="page"/>
      </w:r>
      <w:bookmarkStart w:id="166" w:name="_Toc105940955"/>
      <w:bookmarkStart w:id="167" w:name="_Toc105940873"/>
      <w:r>
        <w:rPr>
          <w:rFonts w:hint="eastAsia" w:ascii="仿宋" w:hAnsi="仿宋" w:eastAsia="仿宋" w:cs="仿宋"/>
          <w:b/>
          <w:bCs/>
          <w:color w:val="auto"/>
          <w:sz w:val="28"/>
          <w:szCs w:val="28"/>
        </w:rPr>
        <w:t>（二）拟派项目经理情况简介</w:t>
      </w:r>
      <w:bookmarkEnd w:id="166"/>
      <w:bookmarkEnd w:id="167"/>
    </w:p>
    <w:tbl>
      <w:tblPr>
        <w:tblStyle w:val="3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1565"/>
        <w:gridCol w:w="4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19" w:type="dxa"/>
            <w:tcBorders>
              <w:top w:val="single" w:color="auto" w:sz="12" w:space="0"/>
              <w:left w:val="single" w:color="auto" w:sz="12" w:space="0"/>
              <w:bottom w:val="single" w:color="auto" w:sz="4" w:space="0"/>
              <w:right w:val="single" w:color="auto" w:sz="4" w:space="0"/>
            </w:tcBorders>
            <w:vAlign w:val="center"/>
          </w:tcPr>
          <w:p>
            <w:pPr>
              <w:pStyle w:val="7"/>
              <w:ind w:firstLine="0"/>
              <w:jc w:val="center"/>
              <w:rPr>
                <w:rFonts w:ascii="仿宋" w:hAnsi="仿宋" w:eastAsia="仿宋" w:cs="仿宋"/>
                <w:bCs/>
                <w:color w:val="auto"/>
                <w:kern w:val="2"/>
                <w:sz w:val="21"/>
                <w:szCs w:val="21"/>
              </w:rPr>
            </w:pPr>
            <w:r>
              <w:rPr>
                <w:rFonts w:hint="eastAsia" w:ascii="仿宋" w:hAnsi="仿宋" w:eastAsia="仿宋" w:cs="仿宋"/>
                <w:bCs/>
                <w:color w:val="auto"/>
                <w:kern w:val="2"/>
                <w:sz w:val="21"/>
                <w:szCs w:val="21"/>
              </w:rPr>
              <w:t>姓名</w:t>
            </w:r>
          </w:p>
        </w:tc>
        <w:tc>
          <w:tcPr>
            <w:tcW w:w="1650" w:type="dxa"/>
            <w:tcBorders>
              <w:top w:val="single" w:color="auto" w:sz="12" w:space="0"/>
              <w:left w:val="single" w:color="auto" w:sz="4" w:space="0"/>
              <w:bottom w:val="single" w:color="auto" w:sz="4" w:space="0"/>
              <w:right w:val="single" w:color="auto" w:sz="4" w:space="0"/>
            </w:tcBorders>
            <w:vAlign w:val="center"/>
          </w:tcPr>
          <w:p>
            <w:pPr>
              <w:pStyle w:val="7"/>
              <w:ind w:left="-15" w:firstLine="0"/>
              <w:jc w:val="center"/>
              <w:rPr>
                <w:rFonts w:ascii="仿宋" w:hAnsi="仿宋" w:eastAsia="仿宋" w:cs="仿宋"/>
                <w:bCs/>
                <w:color w:val="auto"/>
                <w:kern w:val="2"/>
                <w:sz w:val="21"/>
                <w:szCs w:val="21"/>
              </w:rPr>
            </w:pPr>
          </w:p>
        </w:tc>
        <w:tc>
          <w:tcPr>
            <w:tcW w:w="5031" w:type="dxa"/>
            <w:tcBorders>
              <w:top w:val="single" w:color="auto" w:sz="12" w:space="0"/>
              <w:left w:val="single" w:color="auto" w:sz="4" w:space="0"/>
              <w:bottom w:val="single" w:color="auto" w:sz="4" w:space="0"/>
              <w:right w:val="single" w:color="auto" w:sz="12" w:space="0"/>
            </w:tcBorders>
            <w:vAlign w:val="center"/>
          </w:tcPr>
          <w:p>
            <w:pPr>
              <w:pStyle w:val="7"/>
              <w:ind w:left="-15" w:firstLine="0"/>
              <w:jc w:val="center"/>
              <w:rPr>
                <w:rFonts w:ascii="仿宋" w:hAnsi="仿宋" w:eastAsia="仿宋" w:cs="仿宋"/>
                <w:bCs/>
                <w:color w:val="auto"/>
                <w:kern w:val="2"/>
                <w:sz w:val="21"/>
                <w:szCs w:val="21"/>
              </w:rPr>
            </w:pPr>
            <w:r>
              <w:rPr>
                <w:rFonts w:hint="eastAsia" w:ascii="仿宋" w:hAnsi="仿宋" w:eastAsia="仿宋" w:cs="仿宋"/>
                <w:bCs/>
                <w:color w:val="auto"/>
                <w:kern w:val="2"/>
                <w:sz w:val="21"/>
                <w:szCs w:val="21"/>
              </w:rPr>
              <w:t>近3年工作业绩及承担的主要工作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19" w:type="dxa"/>
            <w:tcBorders>
              <w:top w:val="single" w:color="auto" w:sz="4" w:space="0"/>
              <w:left w:val="single" w:color="auto" w:sz="12" w:space="0"/>
              <w:bottom w:val="single" w:color="auto" w:sz="4" w:space="0"/>
              <w:right w:val="single" w:color="auto" w:sz="4" w:space="0"/>
            </w:tcBorders>
            <w:vAlign w:val="center"/>
          </w:tcPr>
          <w:p>
            <w:pPr>
              <w:pStyle w:val="7"/>
              <w:ind w:firstLine="0"/>
              <w:jc w:val="center"/>
              <w:rPr>
                <w:rFonts w:ascii="仿宋" w:hAnsi="仿宋" w:eastAsia="仿宋" w:cs="仿宋"/>
                <w:bCs/>
                <w:color w:val="auto"/>
                <w:kern w:val="2"/>
                <w:sz w:val="21"/>
                <w:szCs w:val="21"/>
              </w:rPr>
            </w:pPr>
            <w:r>
              <w:rPr>
                <w:rFonts w:hint="eastAsia" w:ascii="仿宋" w:hAnsi="仿宋" w:eastAsia="仿宋" w:cs="仿宋"/>
                <w:bCs/>
                <w:color w:val="auto"/>
                <w:kern w:val="2"/>
                <w:sz w:val="21"/>
                <w:szCs w:val="21"/>
              </w:rPr>
              <w:t>性别</w:t>
            </w:r>
          </w:p>
        </w:tc>
        <w:tc>
          <w:tcPr>
            <w:tcW w:w="1650" w:type="dxa"/>
            <w:tcBorders>
              <w:top w:val="single" w:color="auto" w:sz="4" w:space="0"/>
              <w:left w:val="single" w:color="auto" w:sz="4" w:space="0"/>
              <w:bottom w:val="single" w:color="auto" w:sz="4" w:space="0"/>
              <w:right w:val="single" w:color="auto" w:sz="4" w:space="0"/>
            </w:tcBorders>
            <w:vAlign w:val="center"/>
          </w:tcPr>
          <w:p>
            <w:pPr>
              <w:pStyle w:val="7"/>
              <w:ind w:left="-15" w:firstLine="0"/>
              <w:jc w:val="center"/>
              <w:rPr>
                <w:rFonts w:ascii="仿宋" w:hAnsi="仿宋" w:eastAsia="仿宋" w:cs="仿宋"/>
                <w:bCs/>
                <w:color w:val="auto"/>
                <w:kern w:val="2"/>
                <w:sz w:val="21"/>
                <w:szCs w:val="21"/>
              </w:rPr>
            </w:pPr>
          </w:p>
        </w:tc>
        <w:tc>
          <w:tcPr>
            <w:tcW w:w="5031" w:type="dxa"/>
            <w:vMerge w:val="restart"/>
            <w:tcBorders>
              <w:top w:val="single" w:color="auto" w:sz="4" w:space="0"/>
              <w:left w:val="single" w:color="auto" w:sz="4" w:space="0"/>
              <w:bottom w:val="single" w:color="auto" w:sz="4" w:space="0"/>
              <w:right w:val="single" w:color="auto" w:sz="12" w:space="0"/>
            </w:tcBorders>
            <w:vAlign w:val="center"/>
          </w:tcPr>
          <w:p>
            <w:pPr>
              <w:pStyle w:val="7"/>
              <w:ind w:left="-15" w:firstLine="0"/>
              <w:jc w:val="center"/>
              <w:rPr>
                <w:rFonts w:ascii="仿宋" w:hAnsi="仿宋" w:eastAsia="仿宋" w:cs="仿宋"/>
                <w:bCs/>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19" w:type="dxa"/>
            <w:tcBorders>
              <w:top w:val="single" w:color="auto" w:sz="4" w:space="0"/>
              <w:left w:val="single" w:color="auto" w:sz="12" w:space="0"/>
              <w:bottom w:val="single" w:color="auto" w:sz="4" w:space="0"/>
              <w:right w:val="single" w:color="auto" w:sz="4" w:space="0"/>
            </w:tcBorders>
            <w:vAlign w:val="center"/>
          </w:tcPr>
          <w:p>
            <w:pPr>
              <w:pStyle w:val="7"/>
              <w:ind w:firstLine="0"/>
              <w:jc w:val="center"/>
              <w:rPr>
                <w:rFonts w:ascii="仿宋" w:hAnsi="仿宋" w:eastAsia="仿宋" w:cs="仿宋"/>
                <w:bCs/>
                <w:color w:val="auto"/>
                <w:kern w:val="2"/>
                <w:sz w:val="21"/>
                <w:szCs w:val="21"/>
              </w:rPr>
            </w:pPr>
            <w:r>
              <w:rPr>
                <w:rFonts w:hint="eastAsia" w:ascii="仿宋" w:hAnsi="仿宋" w:eastAsia="仿宋" w:cs="仿宋"/>
                <w:bCs/>
                <w:color w:val="auto"/>
                <w:kern w:val="2"/>
                <w:sz w:val="21"/>
                <w:szCs w:val="21"/>
              </w:rPr>
              <w:t>年龄</w:t>
            </w:r>
          </w:p>
        </w:tc>
        <w:tc>
          <w:tcPr>
            <w:tcW w:w="1650" w:type="dxa"/>
            <w:tcBorders>
              <w:top w:val="single" w:color="auto" w:sz="4" w:space="0"/>
              <w:left w:val="single" w:color="auto" w:sz="4" w:space="0"/>
              <w:bottom w:val="single" w:color="auto" w:sz="4" w:space="0"/>
              <w:right w:val="single" w:color="auto" w:sz="4" w:space="0"/>
            </w:tcBorders>
            <w:vAlign w:val="center"/>
          </w:tcPr>
          <w:p>
            <w:pPr>
              <w:pStyle w:val="7"/>
              <w:ind w:left="-15" w:firstLine="0"/>
              <w:jc w:val="center"/>
              <w:rPr>
                <w:rFonts w:ascii="仿宋" w:hAnsi="仿宋" w:eastAsia="仿宋" w:cs="仿宋"/>
                <w:bCs/>
                <w:color w:val="auto"/>
                <w:kern w:val="2"/>
                <w:sz w:val="21"/>
                <w:szCs w:val="21"/>
              </w:rPr>
            </w:pPr>
          </w:p>
        </w:tc>
        <w:tc>
          <w:tcPr>
            <w:tcW w:w="5031"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0"/>
              <w:jc w:val="center"/>
              <w:rPr>
                <w:rFonts w:ascii="仿宋" w:hAnsi="仿宋" w:eastAsia="仿宋" w:cs="仿宋"/>
                <w:bCs/>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19" w:type="dxa"/>
            <w:tcBorders>
              <w:top w:val="single" w:color="auto" w:sz="4" w:space="0"/>
              <w:left w:val="single" w:color="auto" w:sz="12" w:space="0"/>
              <w:bottom w:val="single" w:color="auto" w:sz="4" w:space="0"/>
              <w:right w:val="single" w:color="auto" w:sz="4" w:space="0"/>
            </w:tcBorders>
            <w:vAlign w:val="center"/>
          </w:tcPr>
          <w:p>
            <w:pPr>
              <w:pStyle w:val="7"/>
              <w:ind w:firstLine="0"/>
              <w:jc w:val="center"/>
              <w:rPr>
                <w:rFonts w:ascii="仿宋" w:hAnsi="仿宋" w:eastAsia="仿宋" w:cs="仿宋"/>
                <w:bCs/>
                <w:color w:val="auto"/>
                <w:kern w:val="2"/>
                <w:sz w:val="21"/>
                <w:szCs w:val="21"/>
              </w:rPr>
            </w:pPr>
            <w:r>
              <w:rPr>
                <w:rFonts w:hint="eastAsia" w:ascii="仿宋" w:hAnsi="仿宋" w:eastAsia="仿宋" w:cs="仿宋"/>
                <w:bCs/>
                <w:color w:val="auto"/>
                <w:kern w:val="2"/>
                <w:sz w:val="21"/>
                <w:szCs w:val="21"/>
              </w:rPr>
              <w:t>职称</w:t>
            </w:r>
          </w:p>
        </w:tc>
        <w:tc>
          <w:tcPr>
            <w:tcW w:w="1650" w:type="dxa"/>
            <w:tcBorders>
              <w:top w:val="single" w:color="auto" w:sz="4" w:space="0"/>
              <w:left w:val="single" w:color="auto" w:sz="4" w:space="0"/>
              <w:bottom w:val="single" w:color="auto" w:sz="4" w:space="0"/>
              <w:right w:val="single" w:color="auto" w:sz="4" w:space="0"/>
            </w:tcBorders>
            <w:vAlign w:val="center"/>
          </w:tcPr>
          <w:p>
            <w:pPr>
              <w:pStyle w:val="7"/>
              <w:ind w:left="-15" w:firstLine="0"/>
              <w:jc w:val="center"/>
              <w:rPr>
                <w:rFonts w:ascii="仿宋" w:hAnsi="仿宋" w:eastAsia="仿宋" w:cs="仿宋"/>
                <w:bCs/>
                <w:color w:val="auto"/>
                <w:kern w:val="2"/>
                <w:sz w:val="21"/>
                <w:szCs w:val="21"/>
              </w:rPr>
            </w:pPr>
          </w:p>
        </w:tc>
        <w:tc>
          <w:tcPr>
            <w:tcW w:w="5031"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0"/>
              <w:jc w:val="center"/>
              <w:rPr>
                <w:rFonts w:ascii="仿宋" w:hAnsi="仿宋" w:eastAsia="仿宋" w:cs="仿宋"/>
                <w:bCs/>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19" w:type="dxa"/>
            <w:tcBorders>
              <w:top w:val="single" w:color="auto" w:sz="4" w:space="0"/>
              <w:left w:val="single" w:color="auto" w:sz="12" w:space="0"/>
              <w:bottom w:val="single" w:color="auto" w:sz="4" w:space="0"/>
              <w:right w:val="single" w:color="auto" w:sz="4" w:space="0"/>
            </w:tcBorders>
            <w:vAlign w:val="center"/>
          </w:tcPr>
          <w:p>
            <w:pPr>
              <w:pStyle w:val="7"/>
              <w:ind w:left="-15" w:firstLine="0"/>
              <w:jc w:val="center"/>
              <w:rPr>
                <w:rFonts w:ascii="仿宋" w:hAnsi="仿宋" w:eastAsia="仿宋" w:cs="仿宋"/>
                <w:bCs/>
                <w:color w:val="auto"/>
                <w:kern w:val="2"/>
                <w:sz w:val="21"/>
                <w:szCs w:val="21"/>
              </w:rPr>
            </w:pPr>
            <w:r>
              <w:rPr>
                <w:rFonts w:hint="eastAsia" w:ascii="仿宋" w:hAnsi="仿宋" w:eastAsia="仿宋" w:cs="仿宋"/>
                <w:bCs/>
                <w:color w:val="auto"/>
                <w:kern w:val="2"/>
                <w:sz w:val="21"/>
                <w:szCs w:val="21"/>
              </w:rPr>
              <w:t>毕业时间</w:t>
            </w:r>
          </w:p>
        </w:tc>
        <w:tc>
          <w:tcPr>
            <w:tcW w:w="1650" w:type="dxa"/>
            <w:tcBorders>
              <w:top w:val="single" w:color="auto" w:sz="4" w:space="0"/>
              <w:left w:val="single" w:color="auto" w:sz="4" w:space="0"/>
              <w:bottom w:val="single" w:color="auto" w:sz="4" w:space="0"/>
              <w:right w:val="single" w:color="auto" w:sz="4" w:space="0"/>
            </w:tcBorders>
            <w:vAlign w:val="center"/>
          </w:tcPr>
          <w:p>
            <w:pPr>
              <w:pStyle w:val="7"/>
              <w:ind w:left="-15" w:firstLine="0"/>
              <w:jc w:val="center"/>
              <w:rPr>
                <w:rFonts w:ascii="仿宋" w:hAnsi="仿宋" w:eastAsia="仿宋" w:cs="仿宋"/>
                <w:bCs/>
                <w:color w:val="auto"/>
                <w:kern w:val="2"/>
                <w:sz w:val="21"/>
                <w:szCs w:val="21"/>
              </w:rPr>
            </w:pPr>
          </w:p>
        </w:tc>
        <w:tc>
          <w:tcPr>
            <w:tcW w:w="5031"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0"/>
              <w:jc w:val="center"/>
              <w:rPr>
                <w:rFonts w:ascii="仿宋" w:hAnsi="仿宋" w:eastAsia="仿宋" w:cs="仿宋"/>
                <w:bCs/>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19" w:type="dxa"/>
            <w:tcBorders>
              <w:top w:val="single" w:color="auto" w:sz="4" w:space="0"/>
              <w:left w:val="single" w:color="auto" w:sz="12" w:space="0"/>
              <w:bottom w:val="single" w:color="auto" w:sz="4" w:space="0"/>
              <w:right w:val="single" w:color="auto" w:sz="4" w:space="0"/>
            </w:tcBorders>
            <w:vAlign w:val="center"/>
          </w:tcPr>
          <w:p>
            <w:pPr>
              <w:pStyle w:val="7"/>
              <w:ind w:left="-15" w:firstLine="0"/>
              <w:jc w:val="center"/>
              <w:rPr>
                <w:rFonts w:ascii="仿宋" w:hAnsi="仿宋" w:eastAsia="仿宋" w:cs="仿宋"/>
                <w:bCs/>
                <w:color w:val="auto"/>
                <w:kern w:val="2"/>
                <w:sz w:val="21"/>
                <w:szCs w:val="21"/>
              </w:rPr>
            </w:pPr>
            <w:r>
              <w:rPr>
                <w:rFonts w:hint="eastAsia" w:ascii="仿宋" w:hAnsi="仿宋" w:eastAsia="仿宋" w:cs="仿宋"/>
                <w:bCs/>
                <w:color w:val="auto"/>
                <w:kern w:val="2"/>
                <w:sz w:val="21"/>
                <w:szCs w:val="21"/>
              </w:rPr>
              <w:t>所学专业</w:t>
            </w:r>
          </w:p>
        </w:tc>
        <w:tc>
          <w:tcPr>
            <w:tcW w:w="1650" w:type="dxa"/>
            <w:tcBorders>
              <w:top w:val="single" w:color="auto" w:sz="4" w:space="0"/>
              <w:left w:val="single" w:color="auto" w:sz="4" w:space="0"/>
              <w:bottom w:val="single" w:color="auto" w:sz="4" w:space="0"/>
              <w:right w:val="single" w:color="auto" w:sz="4" w:space="0"/>
            </w:tcBorders>
            <w:vAlign w:val="center"/>
          </w:tcPr>
          <w:p>
            <w:pPr>
              <w:pStyle w:val="7"/>
              <w:ind w:left="-15" w:firstLine="0"/>
              <w:jc w:val="center"/>
              <w:rPr>
                <w:rFonts w:ascii="仿宋" w:hAnsi="仿宋" w:eastAsia="仿宋" w:cs="仿宋"/>
                <w:bCs/>
                <w:color w:val="auto"/>
                <w:kern w:val="2"/>
                <w:sz w:val="21"/>
                <w:szCs w:val="21"/>
              </w:rPr>
            </w:pPr>
          </w:p>
        </w:tc>
        <w:tc>
          <w:tcPr>
            <w:tcW w:w="5031"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0"/>
              <w:jc w:val="center"/>
              <w:rPr>
                <w:rFonts w:ascii="仿宋" w:hAnsi="仿宋" w:eastAsia="仿宋" w:cs="仿宋"/>
                <w:bCs/>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19" w:type="dxa"/>
            <w:tcBorders>
              <w:top w:val="single" w:color="auto" w:sz="4" w:space="0"/>
              <w:left w:val="single" w:color="auto" w:sz="12" w:space="0"/>
              <w:bottom w:val="single" w:color="auto" w:sz="4" w:space="0"/>
              <w:right w:val="single" w:color="auto" w:sz="4" w:space="0"/>
            </w:tcBorders>
            <w:vAlign w:val="center"/>
          </w:tcPr>
          <w:p>
            <w:pPr>
              <w:pStyle w:val="7"/>
              <w:ind w:firstLine="0"/>
              <w:jc w:val="center"/>
              <w:rPr>
                <w:rFonts w:ascii="仿宋" w:hAnsi="仿宋" w:eastAsia="仿宋" w:cs="仿宋"/>
                <w:bCs/>
                <w:color w:val="auto"/>
                <w:kern w:val="2"/>
                <w:sz w:val="21"/>
                <w:szCs w:val="21"/>
              </w:rPr>
            </w:pPr>
            <w:r>
              <w:rPr>
                <w:rFonts w:hint="eastAsia" w:ascii="仿宋" w:hAnsi="仿宋" w:eastAsia="仿宋" w:cs="仿宋"/>
                <w:bCs/>
                <w:color w:val="auto"/>
                <w:kern w:val="2"/>
                <w:sz w:val="21"/>
                <w:szCs w:val="21"/>
              </w:rPr>
              <w:t>学历</w:t>
            </w:r>
          </w:p>
        </w:tc>
        <w:tc>
          <w:tcPr>
            <w:tcW w:w="1650" w:type="dxa"/>
            <w:tcBorders>
              <w:top w:val="single" w:color="auto" w:sz="4" w:space="0"/>
              <w:left w:val="single" w:color="auto" w:sz="4" w:space="0"/>
              <w:bottom w:val="single" w:color="auto" w:sz="4" w:space="0"/>
              <w:right w:val="single" w:color="auto" w:sz="4" w:space="0"/>
            </w:tcBorders>
            <w:vAlign w:val="center"/>
          </w:tcPr>
          <w:p>
            <w:pPr>
              <w:pStyle w:val="7"/>
              <w:ind w:left="-15" w:firstLine="0"/>
              <w:jc w:val="center"/>
              <w:rPr>
                <w:rFonts w:ascii="仿宋" w:hAnsi="仿宋" w:eastAsia="仿宋" w:cs="仿宋"/>
                <w:bCs/>
                <w:color w:val="auto"/>
                <w:kern w:val="2"/>
                <w:sz w:val="21"/>
                <w:szCs w:val="21"/>
              </w:rPr>
            </w:pPr>
          </w:p>
        </w:tc>
        <w:tc>
          <w:tcPr>
            <w:tcW w:w="5031"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0"/>
              <w:jc w:val="center"/>
              <w:rPr>
                <w:rFonts w:ascii="仿宋" w:hAnsi="仿宋" w:eastAsia="仿宋" w:cs="仿宋"/>
                <w:bCs/>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19" w:type="dxa"/>
            <w:tcBorders>
              <w:top w:val="single" w:color="auto" w:sz="4" w:space="0"/>
              <w:left w:val="single" w:color="auto" w:sz="12" w:space="0"/>
              <w:bottom w:val="single" w:color="auto" w:sz="4" w:space="0"/>
              <w:right w:val="single" w:color="auto" w:sz="4" w:space="0"/>
            </w:tcBorders>
            <w:vAlign w:val="center"/>
          </w:tcPr>
          <w:p>
            <w:pPr>
              <w:pStyle w:val="7"/>
              <w:ind w:left="-15" w:firstLine="0"/>
              <w:jc w:val="center"/>
              <w:rPr>
                <w:rFonts w:ascii="仿宋" w:hAnsi="仿宋" w:eastAsia="仿宋" w:cs="仿宋"/>
                <w:bCs/>
                <w:color w:val="auto"/>
                <w:kern w:val="2"/>
                <w:sz w:val="21"/>
                <w:szCs w:val="21"/>
              </w:rPr>
            </w:pPr>
            <w:r>
              <w:rPr>
                <w:rFonts w:hint="eastAsia" w:ascii="仿宋" w:hAnsi="仿宋" w:eastAsia="仿宋" w:cs="仿宋"/>
                <w:bCs/>
                <w:color w:val="auto"/>
                <w:kern w:val="2"/>
                <w:sz w:val="21"/>
                <w:szCs w:val="21"/>
              </w:rPr>
              <w:t>证书名称</w:t>
            </w:r>
          </w:p>
        </w:tc>
        <w:tc>
          <w:tcPr>
            <w:tcW w:w="1650" w:type="dxa"/>
            <w:tcBorders>
              <w:top w:val="single" w:color="auto" w:sz="4" w:space="0"/>
              <w:left w:val="single" w:color="auto" w:sz="4" w:space="0"/>
              <w:bottom w:val="single" w:color="auto" w:sz="4" w:space="0"/>
              <w:right w:val="single" w:color="auto" w:sz="4" w:space="0"/>
            </w:tcBorders>
            <w:vAlign w:val="center"/>
          </w:tcPr>
          <w:p>
            <w:pPr>
              <w:pStyle w:val="7"/>
              <w:ind w:left="-15" w:firstLine="0"/>
              <w:jc w:val="center"/>
              <w:rPr>
                <w:rFonts w:ascii="仿宋" w:hAnsi="仿宋" w:eastAsia="仿宋" w:cs="仿宋"/>
                <w:bCs/>
                <w:color w:val="auto"/>
                <w:kern w:val="2"/>
                <w:sz w:val="21"/>
                <w:szCs w:val="21"/>
              </w:rPr>
            </w:pPr>
          </w:p>
        </w:tc>
        <w:tc>
          <w:tcPr>
            <w:tcW w:w="5031"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0"/>
              <w:jc w:val="center"/>
              <w:rPr>
                <w:rFonts w:ascii="仿宋" w:hAnsi="仿宋" w:eastAsia="仿宋" w:cs="仿宋"/>
                <w:bCs/>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19" w:type="dxa"/>
            <w:tcBorders>
              <w:top w:val="single" w:color="auto" w:sz="4" w:space="0"/>
              <w:left w:val="single" w:color="auto" w:sz="12" w:space="0"/>
              <w:bottom w:val="single" w:color="auto" w:sz="4" w:space="0"/>
              <w:right w:val="single" w:color="auto" w:sz="4" w:space="0"/>
            </w:tcBorders>
            <w:vAlign w:val="center"/>
          </w:tcPr>
          <w:p>
            <w:pPr>
              <w:pStyle w:val="7"/>
              <w:ind w:left="-15" w:firstLine="0"/>
              <w:jc w:val="center"/>
              <w:rPr>
                <w:rFonts w:ascii="仿宋" w:hAnsi="仿宋" w:eastAsia="仿宋" w:cs="仿宋"/>
                <w:bCs/>
                <w:color w:val="auto"/>
                <w:kern w:val="2"/>
                <w:sz w:val="21"/>
                <w:szCs w:val="21"/>
              </w:rPr>
            </w:pPr>
            <w:r>
              <w:rPr>
                <w:rFonts w:hint="eastAsia" w:ascii="仿宋" w:hAnsi="仿宋" w:eastAsia="仿宋" w:cs="仿宋"/>
                <w:bCs/>
                <w:color w:val="auto"/>
                <w:kern w:val="2"/>
                <w:sz w:val="21"/>
                <w:szCs w:val="21"/>
              </w:rPr>
              <w:t>专业资格</w:t>
            </w:r>
          </w:p>
        </w:tc>
        <w:tc>
          <w:tcPr>
            <w:tcW w:w="1650" w:type="dxa"/>
            <w:tcBorders>
              <w:top w:val="single" w:color="auto" w:sz="4" w:space="0"/>
              <w:left w:val="single" w:color="auto" w:sz="4" w:space="0"/>
              <w:bottom w:val="single" w:color="auto" w:sz="4" w:space="0"/>
              <w:right w:val="single" w:color="auto" w:sz="4" w:space="0"/>
            </w:tcBorders>
            <w:vAlign w:val="center"/>
          </w:tcPr>
          <w:p>
            <w:pPr>
              <w:pStyle w:val="7"/>
              <w:ind w:left="-15" w:firstLine="0"/>
              <w:jc w:val="center"/>
              <w:rPr>
                <w:rFonts w:ascii="仿宋" w:hAnsi="仿宋" w:eastAsia="仿宋" w:cs="仿宋"/>
                <w:bCs/>
                <w:color w:val="auto"/>
                <w:kern w:val="2"/>
                <w:sz w:val="21"/>
                <w:szCs w:val="21"/>
              </w:rPr>
            </w:pPr>
          </w:p>
        </w:tc>
        <w:tc>
          <w:tcPr>
            <w:tcW w:w="5031"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0"/>
              <w:jc w:val="center"/>
              <w:rPr>
                <w:rFonts w:ascii="仿宋" w:hAnsi="仿宋" w:eastAsia="仿宋" w:cs="仿宋"/>
                <w:bCs/>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19" w:type="dxa"/>
            <w:tcBorders>
              <w:top w:val="single" w:color="auto" w:sz="4" w:space="0"/>
              <w:left w:val="single" w:color="auto" w:sz="12" w:space="0"/>
              <w:bottom w:val="single" w:color="auto" w:sz="4" w:space="0"/>
              <w:right w:val="single" w:color="auto" w:sz="4" w:space="0"/>
            </w:tcBorders>
            <w:vAlign w:val="center"/>
          </w:tcPr>
          <w:p>
            <w:pPr>
              <w:pStyle w:val="7"/>
              <w:ind w:left="-15" w:firstLine="0"/>
              <w:jc w:val="center"/>
              <w:rPr>
                <w:rFonts w:ascii="仿宋" w:hAnsi="仿宋" w:eastAsia="仿宋" w:cs="仿宋"/>
                <w:bCs/>
                <w:color w:val="auto"/>
                <w:kern w:val="2"/>
                <w:sz w:val="21"/>
                <w:szCs w:val="21"/>
              </w:rPr>
            </w:pPr>
            <w:r>
              <w:rPr>
                <w:rFonts w:hint="eastAsia" w:ascii="仿宋" w:hAnsi="仿宋" w:eastAsia="仿宋" w:cs="仿宋"/>
                <w:bCs/>
                <w:color w:val="auto"/>
                <w:kern w:val="2"/>
                <w:sz w:val="21"/>
                <w:szCs w:val="21"/>
              </w:rPr>
              <w:t>联系电话</w:t>
            </w:r>
          </w:p>
        </w:tc>
        <w:tc>
          <w:tcPr>
            <w:tcW w:w="1650" w:type="dxa"/>
            <w:tcBorders>
              <w:top w:val="single" w:color="auto" w:sz="4" w:space="0"/>
              <w:left w:val="single" w:color="auto" w:sz="4" w:space="0"/>
              <w:bottom w:val="single" w:color="auto" w:sz="4" w:space="0"/>
              <w:right w:val="single" w:color="auto" w:sz="4" w:space="0"/>
            </w:tcBorders>
            <w:vAlign w:val="center"/>
          </w:tcPr>
          <w:p>
            <w:pPr>
              <w:pStyle w:val="7"/>
              <w:ind w:left="-15" w:firstLine="0"/>
              <w:jc w:val="center"/>
              <w:rPr>
                <w:rFonts w:ascii="仿宋" w:hAnsi="仿宋" w:eastAsia="仿宋" w:cs="仿宋"/>
                <w:bCs/>
                <w:color w:val="auto"/>
                <w:kern w:val="2"/>
                <w:sz w:val="21"/>
                <w:szCs w:val="21"/>
              </w:rPr>
            </w:pPr>
          </w:p>
        </w:tc>
        <w:tc>
          <w:tcPr>
            <w:tcW w:w="5031"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0"/>
              <w:jc w:val="center"/>
              <w:rPr>
                <w:rFonts w:ascii="仿宋" w:hAnsi="仿宋" w:eastAsia="仿宋" w:cs="仿宋"/>
                <w:bCs/>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319" w:type="dxa"/>
            <w:tcBorders>
              <w:top w:val="single" w:color="auto" w:sz="4" w:space="0"/>
              <w:left w:val="single" w:color="auto" w:sz="12" w:space="0"/>
              <w:bottom w:val="single" w:color="auto" w:sz="12" w:space="0"/>
              <w:right w:val="single" w:color="auto" w:sz="4" w:space="0"/>
            </w:tcBorders>
            <w:vAlign w:val="center"/>
          </w:tcPr>
          <w:p>
            <w:pPr>
              <w:pStyle w:val="7"/>
              <w:ind w:firstLine="0"/>
              <w:jc w:val="center"/>
              <w:rPr>
                <w:rFonts w:ascii="仿宋" w:hAnsi="仿宋" w:eastAsia="仿宋" w:cs="仿宋"/>
                <w:bCs/>
                <w:color w:val="auto"/>
                <w:kern w:val="2"/>
                <w:sz w:val="21"/>
                <w:szCs w:val="21"/>
              </w:rPr>
            </w:pPr>
            <w:r>
              <w:rPr>
                <w:rFonts w:hint="eastAsia" w:ascii="仿宋" w:hAnsi="仿宋" w:eastAsia="仿宋" w:cs="仿宋"/>
                <w:bCs/>
                <w:color w:val="auto"/>
                <w:kern w:val="2"/>
                <w:sz w:val="21"/>
                <w:szCs w:val="21"/>
              </w:rPr>
              <w:t>曾担任项目主要</w:t>
            </w:r>
          </w:p>
          <w:p>
            <w:pPr>
              <w:pStyle w:val="7"/>
              <w:ind w:firstLine="0"/>
              <w:jc w:val="center"/>
              <w:rPr>
                <w:rFonts w:ascii="仿宋" w:hAnsi="仿宋" w:eastAsia="仿宋" w:cs="仿宋"/>
                <w:bCs/>
                <w:color w:val="auto"/>
                <w:kern w:val="2"/>
                <w:sz w:val="21"/>
                <w:szCs w:val="21"/>
              </w:rPr>
            </w:pPr>
            <w:r>
              <w:rPr>
                <w:rFonts w:hint="eastAsia" w:ascii="仿宋" w:hAnsi="仿宋" w:eastAsia="仿宋" w:cs="仿宋"/>
                <w:bCs/>
                <w:color w:val="auto"/>
                <w:kern w:val="2"/>
                <w:sz w:val="21"/>
                <w:szCs w:val="21"/>
              </w:rPr>
              <w:t>负责人的项目</w:t>
            </w:r>
          </w:p>
        </w:tc>
        <w:tc>
          <w:tcPr>
            <w:tcW w:w="6681" w:type="dxa"/>
            <w:gridSpan w:val="2"/>
            <w:tcBorders>
              <w:top w:val="single" w:color="auto" w:sz="4" w:space="0"/>
              <w:left w:val="single" w:color="auto" w:sz="4" w:space="0"/>
              <w:bottom w:val="single" w:color="auto" w:sz="12" w:space="0"/>
              <w:right w:val="single" w:color="auto" w:sz="12" w:space="0"/>
            </w:tcBorders>
            <w:vAlign w:val="center"/>
          </w:tcPr>
          <w:p>
            <w:pPr>
              <w:pStyle w:val="7"/>
              <w:ind w:left="-15" w:firstLine="0"/>
              <w:jc w:val="center"/>
              <w:rPr>
                <w:rFonts w:ascii="仿宋" w:hAnsi="仿宋" w:eastAsia="仿宋" w:cs="仿宋"/>
                <w:bCs/>
                <w:color w:val="auto"/>
                <w:kern w:val="2"/>
                <w:sz w:val="21"/>
                <w:szCs w:val="21"/>
              </w:rPr>
            </w:pPr>
          </w:p>
        </w:tc>
      </w:tr>
    </w:tbl>
    <w:p>
      <w:pPr>
        <w:pStyle w:val="7"/>
        <w:spacing w:before="120" w:beforeLines="50"/>
        <w:ind w:firstLine="0"/>
        <w:rPr>
          <w:rFonts w:ascii="仿宋" w:hAnsi="仿宋" w:eastAsia="仿宋" w:cs="仿宋"/>
          <w:b/>
          <w:color w:val="auto"/>
          <w:sz w:val="24"/>
        </w:rPr>
      </w:pPr>
      <w:r>
        <w:rPr>
          <w:rFonts w:hint="eastAsia" w:ascii="仿宋" w:hAnsi="仿宋" w:eastAsia="仿宋" w:cs="仿宋"/>
          <w:b/>
          <w:color w:val="auto"/>
          <w:sz w:val="24"/>
        </w:rPr>
        <w:t>备注：</w:t>
      </w:r>
    </w:p>
    <w:p>
      <w:pPr>
        <w:pStyle w:val="7"/>
        <w:spacing w:before="120" w:beforeLines="50"/>
        <w:rPr>
          <w:rFonts w:ascii="仿宋" w:hAnsi="仿宋" w:eastAsia="仿宋" w:cs="仿宋"/>
          <w:bCs/>
          <w:color w:val="auto"/>
          <w:sz w:val="24"/>
        </w:rPr>
      </w:pPr>
      <w:r>
        <w:rPr>
          <w:rFonts w:hint="eastAsia" w:ascii="仿宋" w:hAnsi="仿宋" w:eastAsia="仿宋" w:cs="仿宋"/>
          <w:bCs/>
          <w:color w:val="auto"/>
          <w:sz w:val="24"/>
        </w:rPr>
        <w:t>1、项目负责人具有资格证书的，请提交相关证书复印件。</w:t>
      </w:r>
    </w:p>
    <w:p>
      <w:pPr>
        <w:pStyle w:val="7"/>
        <w:spacing w:before="120" w:beforeLines="50"/>
        <w:rPr>
          <w:rFonts w:ascii="仿宋" w:hAnsi="仿宋" w:eastAsia="仿宋" w:cs="仿宋"/>
          <w:bCs/>
          <w:color w:val="auto"/>
          <w:sz w:val="24"/>
        </w:rPr>
      </w:pPr>
      <w:r>
        <w:rPr>
          <w:rFonts w:hint="eastAsia" w:ascii="仿宋" w:hAnsi="仿宋" w:eastAsia="仿宋" w:cs="仿宋"/>
          <w:bCs/>
          <w:color w:val="auto"/>
          <w:sz w:val="24"/>
        </w:rPr>
        <w:t>2、列入本表人员如要更换，需经采购人同意，擅自更换属违约行为。</w:t>
      </w:r>
      <w:bookmarkStart w:id="168" w:name="_Toc100386082"/>
    </w:p>
    <w:p>
      <w:pPr>
        <w:pStyle w:val="3"/>
        <w:spacing w:line="240" w:lineRule="auto"/>
        <w:rPr>
          <w:rFonts w:ascii="仿宋" w:hAnsi="仿宋" w:eastAsia="仿宋" w:cs="仿宋"/>
          <w:color w:val="auto"/>
          <w:sz w:val="30"/>
          <w:szCs w:val="30"/>
        </w:rPr>
      </w:pPr>
      <w:r>
        <w:rPr>
          <w:rFonts w:hint="eastAsia" w:ascii="仿宋" w:hAnsi="仿宋" w:eastAsia="仿宋" w:cs="仿宋"/>
          <w:color w:val="auto"/>
          <w:sz w:val="30"/>
          <w:szCs w:val="30"/>
        </w:rPr>
        <w:br w:type="page"/>
      </w:r>
      <w:bookmarkStart w:id="169" w:name="_Toc105940956"/>
      <w:bookmarkStart w:id="170" w:name="_Toc105940874"/>
      <w:bookmarkStart w:id="171" w:name="_Toc92168051"/>
      <w:bookmarkStart w:id="172" w:name="_Toc100386083"/>
      <w:bookmarkStart w:id="173" w:name="_Toc5546765"/>
      <w:bookmarkStart w:id="174" w:name="_Toc22000647"/>
      <w:r>
        <w:rPr>
          <w:rFonts w:hint="eastAsia" w:ascii="仿宋" w:hAnsi="仿宋" w:eastAsia="仿宋" w:cs="仿宋"/>
          <w:color w:val="auto"/>
          <w:sz w:val="30"/>
          <w:szCs w:val="30"/>
        </w:rPr>
        <w:t>五、项目实施方案等</w:t>
      </w:r>
      <w:bookmarkEnd w:id="169"/>
      <w:bookmarkEnd w:id="170"/>
    </w:p>
    <w:p>
      <w:pPr>
        <w:spacing w:line="360" w:lineRule="auto"/>
        <w:ind w:firstLine="480" w:firstLineChars="200"/>
        <w:rPr>
          <w:rFonts w:ascii="仿宋" w:hAnsi="仿宋" w:eastAsia="仿宋" w:cs="仿宋"/>
          <w:bCs/>
          <w:color w:val="auto"/>
          <w:sz w:val="24"/>
        </w:rPr>
      </w:pPr>
    </w:p>
    <w:p>
      <w:pPr>
        <w:spacing w:line="360" w:lineRule="auto"/>
        <w:ind w:firstLine="480" w:firstLineChars="200"/>
        <w:rPr>
          <w:rFonts w:ascii="仿宋" w:hAnsi="仿宋" w:eastAsia="仿宋" w:cs="仿宋"/>
          <w:bCs/>
          <w:color w:val="auto"/>
          <w:sz w:val="24"/>
        </w:rPr>
      </w:pPr>
    </w:p>
    <w:p>
      <w:pPr>
        <w:pStyle w:val="3"/>
        <w:spacing w:line="240" w:lineRule="auto"/>
        <w:rPr>
          <w:rFonts w:ascii="仿宋" w:hAnsi="仿宋" w:eastAsia="仿宋" w:cs="仿宋"/>
          <w:color w:val="auto"/>
          <w:sz w:val="30"/>
          <w:szCs w:val="30"/>
        </w:rPr>
      </w:pPr>
      <w:r>
        <w:rPr>
          <w:rFonts w:hint="eastAsia" w:ascii="仿宋" w:hAnsi="仿宋" w:eastAsia="仿宋" w:cs="仿宋"/>
          <w:color w:val="auto"/>
          <w:sz w:val="24"/>
        </w:rPr>
        <w:br w:type="page"/>
      </w:r>
      <w:bookmarkStart w:id="175" w:name="_Toc105940957"/>
      <w:bookmarkStart w:id="176" w:name="_Toc105940875"/>
      <w:r>
        <w:rPr>
          <w:rFonts w:hint="eastAsia" w:ascii="仿宋" w:hAnsi="仿宋" w:eastAsia="仿宋" w:cs="仿宋"/>
          <w:color w:val="auto"/>
          <w:sz w:val="30"/>
          <w:szCs w:val="30"/>
        </w:rPr>
        <w:t>六、服务承诺</w:t>
      </w:r>
      <w:bookmarkEnd w:id="171"/>
      <w:bookmarkEnd w:id="172"/>
      <w:bookmarkEnd w:id="173"/>
      <w:bookmarkEnd w:id="174"/>
      <w:bookmarkEnd w:id="175"/>
      <w:bookmarkEnd w:id="176"/>
    </w:p>
    <w:p>
      <w:pPr>
        <w:spacing w:line="360" w:lineRule="auto"/>
        <w:ind w:firstLine="585" w:firstLineChars="244"/>
        <w:rPr>
          <w:rFonts w:ascii="仿宋" w:hAnsi="仿宋" w:eastAsia="仿宋" w:cs="仿宋"/>
          <w:bCs/>
          <w:color w:val="auto"/>
          <w:sz w:val="24"/>
        </w:rPr>
      </w:pPr>
      <w:r>
        <w:rPr>
          <w:rFonts w:hint="eastAsia" w:ascii="仿宋" w:hAnsi="仿宋" w:eastAsia="仿宋" w:cs="仿宋"/>
          <w:bCs/>
          <w:color w:val="auto"/>
          <w:sz w:val="24"/>
        </w:rPr>
        <w:t>1、格式由供应商自定，必须在磋商响应文件的“服务要求”中逐条进行响应和表述。</w:t>
      </w:r>
    </w:p>
    <w:bookmarkEnd w:id="168"/>
    <w:p>
      <w:pPr>
        <w:rPr>
          <w:rFonts w:ascii="仿宋" w:hAnsi="仿宋" w:eastAsia="仿宋" w:cs="仿宋"/>
          <w:color w:val="auto"/>
          <w:sz w:val="30"/>
          <w:szCs w:val="30"/>
        </w:rPr>
      </w:pPr>
      <w:bookmarkStart w:id="177" w:name="_Toc105940876"/>
      <w:bookmarkStart w:id="178" w:name="_Toc105940958"/>
      <w:r>
        <w:rPr>
          <w:rFonts w:hint="eastAsia" w:ascii="仿宋" w:hAnsi="仿宋" w:eastAsia="仿宋" w:cs="仿宋"/>
          <w:color w:val="auto"/>
          <w:sz w:val="30"/>
          <w:szCs w:val="30"/>
        </w:rPr>
        <w:br w:type="page"/>
      </w:r>
    </w:p>
    <w:p>
      <w:pPr>
        <w:pStyle w:val="3"/>
        <w:spacing w:line="240" w:lineRule="auto"/>
        <w:rPr>
          <w:rFonts w:ascii="仿宋" w:hAnsi="仿宋" w:eastAsia="仿宋" w:cs="仿宋"/>
          <w:color w:val="auto"/>
          <w:sz w:val="30"/>
          <w:szCs w:val="30"/>
        </w:rPr>
      </w:pPr>
      <w:r>
        <w:rPr>
          <w:rFonts w:hint="eastAsia" w:ascii="仿宋" w:hAnsi="仿宋" w:eastAsia="仿宋" w:cs="仿宋"/>
          <w:color w:val="auto"/>
          <w:sz w:val="30"/>
          <w:szCs w:val="30"/>
        </w:rPr>
        <w:t>七、企业情况简介</w:t>
      </w:r>
      <w:bookmarkEnd w:id="177"/>
      <w:bookmarkEnd w:id="178"/>
    </w:p>
    <w:p>
      <w:pPr>
        <w:jc w:val="center"/>
        <w:rPr>
          <w:rFonts w:ascii="仿宋" w:hAnsi="仿宋" w:eastAsia="仿宋" w:cs="仿宋"/>
          <w:bCs/>
          <w:color w:val="auto"/>
          <w:sz w:val="24"/>
        </w:rPr>
      </w:pPr>
      <w:r>
        <w:rPr>
          <w:rFonts w:hint="eastAsia" w:ascii="仿宋" w:hAnsi="仿宋" w:eastAsia="仿宋" w:cs="仿宋"/>
          <w:bCs/>
          <w:color w:val="auto"/>
          <w:sz w:val="24"/>
        </w:rPr>
        <w:t>请供应商自行介绍本公司情况，格式自拟。</w:t>
      </w:r>
      <w:bookmarkEnd w:id="160"/>
      <w:bookmarkEnd w:id="165"/>
    </w:p>
    <w:p>
      <w:pPr>
        <w:rPr>
          <w:rFonts w:ascii="仿宋" w:hAnsi="仿宋" w:eastAsia="仿宋" w:cs="仿宋"/>
          <w:color w:val="auto"/>
          <w:sz w:val="30"/>
          <w:szCs w:val="30"/>
        </w:rPr>
      </w:pPr>
      <w:bookmarkStart w:id="179" w:name="_Toc105940959"/>
      <w:bookmarkStart w:id="180" w:name="_Toc105940877"/>
      <w:r>
        <w:rPr>
          <w:rFonts w:hint="eastAsia" w:ascii="仿宋" w:hAnsi="仿宋" w:eastAsia="仿宋" w:cs="仿宋"/>
          <w:color w:val="auto"/>
          <w:sz w:val="30"/>
          <w:szCs w:val="30"/>
        </w:rPr>
        <w:br w:type="page"/>
      </w:r>
    </w:p>
    <w:p>
      <w:pPr>
        <w:pStyle w:val="3"/>
        <w:spacing w:line="240" w:lineRule="auto"/>
        <w:rPr>
          <w:rFonts w:ascii="仿宋" w:hAnsi="仿宋" w:eastAsia="仿宋" w:cs="仿宋"/>
          <w:color w:val="auto"/>
          <w:sz w:val="30"/>
          <w:szCs w:val="30"/>
        </w:rPr>
      </w:pPr>
      <w:r>
        <w:rPr>
          <w:rFonts w:hint="eastAsia" w:ascii="仿宋" w:hAnsi="仿宋" w:eastAsia="仿宋" w:cs="仿宋"/>
          <w:color w:val="auto"/>
          <w:sz w:val="30"/>
          <w:szCs w:val="30"/>
        </w:rPr>
        <w:t>八、供应商需要提供的证明材料</w:t>
      </w:r>
      <w:bookmarkEnd w:id="179"/>
      <w:bookmarkEnd w:id="180"/>
    </w:p>
    <w:p>
      <w:pPr>
        <w:spacing w:line="360" w:lineRule="auto"/>
        <w:ind w:firstLine="480" w:firstLineChars="200"/>
        <w:rPr>
          <w:rFonts w:ascii="仿宋" w:hAnsi="仿宋" w:eastAsia="仿宋" w:cs="仿宋"/>
          <w:bCs/>
          <w:color w:val="auto"/>
          <w:sz w:val="32"/>
        </w:rPr>
      </w:pPr>
      <w:bookmarkStart w:id="181" w:name="_Toc105940878"/>
      <w:bookmarkStart w:id="182" w:name="_Toc105940960"/>
      <w:r>
        <w:rPr>
          <w:rFonts w:hint="eastAsia" w:ascii="仿宋" w:hAnsi="仿宋" w:eastAsia="仿宋" w:cs="仿宋"/>
          <w:bCs/>
          <w:color w:val="auto"/>
          <w:sz w:val="24"/>
        </w:rPr>
        <w:t>1、具有独立承担民事责任的能力：提供法人或者其他组织的营业执照等证明文件，自</w:t>
      </w:r>
      <w:bookmarkEnd w:id="181"/>
      <w:bookmarkEnd w:id="182"/>
      <w:bookmarkStart w:id="183" w:name="_Toc105940961"/>
      <w:bookmarkStart w:id="184" w:name="_Toc105940879"/>
      <w:r>
        <w:rPr>
          <w:rFonts w:hint="eastAsia" w:ascii="仿宋" w:hAnsi="仿宋" w:eastAsia="仿宋" w:cs="仿宋"/>
          <w:bCs/>
          <w:color w:val="auto"/>
          <w:sz w:val="24"/>
        </w:rPr>
        <w:t>然人的身份证明；</w:t>
      </w:r>
      <w:bookmarkEnd w:id="183"/>
      <w:bookmarkEnd w:id="184"/>
      <w:r>
        <w:rPr>
          <w:rFonts w:hint="eastAsia" w:ascii="仿宋" w:hAnsi="仿宋" w:eastAsia="仿宋" w:cs="仿宋"/>
          <w:bCs/>
          <w:color w:val="auto"/>
          <w:sz w:val="32"/>
        </w:rPr>
        <w:t xml:space="preserve"> </w:t>
      </w:r>
    </w:p>
    <w:p>
      <w:pPr>
        <w:spacing w:line="360" w:lineRule="auto"/>
        <w:ind w:firstLine="480" w:firstLineChars="200"/>
        <w:jc w:val="left"/>
        <w:rPr>
          <w:rFonts w:ascii="仿宋" w:hAnsi="仿宋" w:eastAsia="仿宋" w:cs="仿宋"/>
          <w:bCs/>
          <w:color w:val="auto"/>
          <w:sz w:val="24"/>
        </w:rPr>
      </w:pPr>
      <w:bookmarkStart w:id="185" w:name="_Toc105940962"/>
      <w:bookmarkStart w:id="186" w:name="_Toc105940880"/>
      <w:r>
        <w:rPr>
          <w:rFonts w:hint="eastAsia" w:ascii="仿宋" w:hAnsi="仿宋" w:eastAsia="仿宋" w:cs="仿宋"/>
          <w:bCs/>
          <w:color w:val="auto"/>
          <w:sz w:val="24"/>
        </w:rPr>
        <w:t>2、具有良好的商业信誉和健全的财务会计制度：202</w:t>
      </w:r>
      <w:r>
        <w:rPr>
          <w:rFonts w:hint="eastAsia" w:ascii="仿宋" w:hAnsi="仿宋" w:eastAsia="仿宋" w:cs="仿宋"/>
          <w:bCs/>
          <w:color w:val="auto"/>
          <w:sz w:val="24"/>
          <w:lang w:val="en-US" w:eastAsia="zh-CN"/>
        </w:rPr>
        <w:t>4年或2025</w:t>
      </w:r>
      <w:r>
        <w:rPr>
          <w:rFonts w:hint="eastAsia" w:ascii="仿宋" w:hAnsi="仿宋" w:eastAsia="仿宋" w:cs="仿宋"/>
          <w:bCs/>
          <w:color w:val="auto"/>
          <w:sz w:val="24"/>
        </w:rPr>
        <w:t>年度财务状况报告，成立不满一年的提供至少一个月财务状况报告；</w:t>
      </w:r>
      <w:bookmarkEnd w:id="185"/>
      <w:bookmarkEnd w:id="186"/>
    </w:p>
    <w:p>
      <w:pPr>
        <w:spacing w:line="360" w:lineRule="auto"/>
        <w:ind w:firstLine="480" w:firstLineChars="200"/>
        <w:jc w:val="left"/>
        <w:rPr>
          <w:rFonts w:ascii="仿宋" w:hAnsi="仿宋" w:eastAsia="仿宋" w:cs="仿宋"/>
          <w:bCs/>
          <w:color w:val="auto"/>
          <w:sz w:val="24"/>
        </w:rPr>
      </w:pPr>
      <w:bookmarkStart w:id="187" w:name="_Toc105940881"/>
      <w:bookmarkStart w:id="188" w:name="_Toc105940963"/>
      <w:r>
        <w:rPr>
          <w:rFonts w:hint="eastAsia" w:ascii="仿宋" w:hAnsi="仿宋" w:eastAsia="仿宋" w:cs="仿宋"/>
          <w:bCs/>
          <w:color w:val="auto"/>
          <w:sz w:val="24"/>
        </w:rPr>
        <w:t>3、具有履行合同所必需的设备和专业技术能力：供应商相关信息一览表【见第五部分磋商响应文件（格式）】；</w:t>
      </w:r>
      <w:bookmarkEnd w:id="187"/>
      <w:bookmarkEnd w:id="188"/>
    </w:p>
    <w:p>
      <w:pPr>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4、有依法缴纳税收和社会保障资金的良好记录：提供参加本次政府采购活动前六个月（至少一个月）依法缴纳税收和社会保险的相关材料；</w:t>
      </w:r>
    </w:p>
    <w:p>
      <w:pPr>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5、参加政府采购活动前三年内，在经营活动中没有重大违法记录：磋商承诺函【见第五部分磋商响应文件（格式）】。</w:t>
      </w:r>
    </w:p>
    <w:p>
      <w:pPr>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6、项目要求的其他相关材料，以及供应商认为有必要提供的其它材料。</w:t>
      </w:r>
    </w:p>
    <w:p>
      <w:pPr>
        <w:ind w:firstLine="482" w:firstLineChars="200"/>
        <w:rPr>
          <w:rFonts w:ascii="仿宋" w:hAnsi="仿宋" w:eastAsia="仿宋" w:cs="仿宋"/>
          <w:color w:val="auto"/>
          <w:u w:val="single"/>
        </w:rPr>
      </w:pPr>
      <w:r>
        <w:rPr>
          <w:rFonts w:hint="eastAsia" w:ascii="仿宋" w:hAnsi="仿宋" w:eastAsia="仿宋" w:cs="仿宋"/>
          <w:b/>
          <w:bCs/>
          <w:color w:val="auto"/>
          <w:sz w:val="24"/>
          <w:u w:val="single"/>
        </w:rPr>
        <w:t>备注：以上材料第2-5项可提供资格承诺函（见后）</w:t>
      </w:r>
    </w:p>
    <w:p>
      <w:pPr>
        <w:pStyle w:val="3"/>
        <w:spacing w:line="240" w:lineRule="auto"/>
        <w:rPr>
          <w:rFonts w:ascii="仿宋" w:hAnsi="仿宋" w:eastAsia="仿宋" w:cs="仿宋"/>
          <w:color w:val="auto"/>
          <w:sz w:val="30"/>
          <w:szCs w:val="30"/>
        </w:rPr>
      </w:pPr>
      <w:bookmarkStart w:id="189" w:name="_Toc105940964"/>
      <w:bookmarkStart w:id="190" w:name="_Toc105940882"/>
      <w:r>
        <w:rPr>
          <w:rFonts w:hint="eastAsia" w:ascii="仿宋" w:hAnsi="仿宋" w:eastAsia="仿宋" w:cs="仿宋"/>
          <w:color w:val="auto"/>
          <w:sz w:val="36"/>
          <w:szCs w:val="36"/>
        </w:rPr>
        <w:br w:type="page"/>
      </w:r>
      <w:bookmarkEnd w:id="189"/>
      <w:bookmarkEnd w:id="190"/>
      <w:r>
        <w:rPr>
          <w:rFonts w:hint="eastAsia" w:ascii="仿宋" w:hAnsi="仿宋" w:eastAsia="仿宋" w:cs="仿宋"/>
          <w:color w:val="auto"/>
          <w:sz w:val="30"/>
          <w:szCs w:val="30"/>
        </w:rPr>
        <w:t>九、资格承诺函</w:t>
      </w:r>
    </w:p>
    <w:p>
      <w:pPr>
        <w:widowControl/>
        <w:shd w:val="clear" w:color="auto" w:fill="FFFFFF"/>
        <w:spacing w:line="560" w:lineRule="exact"/>
        <w:jc w:val="left"/>
        <w:rPr>
          <w:rFonts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（采购人、采购代理机构）</w:t>
      </w:r>
    </w:p>
    <w:p>
      <w:pPr>
        <w:widowControl/>
        <w:shd w:val="clear" w:color="auto" w:fill="FFFFFF"/>
        <w:spacing w:line="56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我单位参与</w:t>
      </w:r>
      <w:r>
        <w:rPr>
          <w:rFonts w:hint="eastAsia" w:ascii="仿宋" w:hAnsi="仿宋" w:eastAsia="仿宋" w:cs="仿宋"/>
          <w:color w:val="auto"/>
          <w:kern w:val="0"/>
          <w:sz w:val="24"/>
          <w:u w:val="single"/>
        </w:rPr>
        <w:t>（项目名称）、（项目编号）</w:t>
      </w:r>
      <w:r>
        <w:rPr>
          <w:rFonts w:hint="eastAsia" w:ascii="仿宋" w:hAnsi="仿宋" w:eastAsia="仿宋" w:cs="仿宋"/>
          <w:color w:val="auto"/>
          <w:kern w:val="0"/>
          <w:sz w:val="24"/>
        </w:rPr>
        <w:t>项目的政府采购活动，现承诺如下：</w:t>
      </w:r>
    </w:p>
    <w:p>
      <w:pPr>
        <w:widowControl/>
        <w:shd w:val="clear" w:color="auto" w:fill="FFFFFF"/>
        <w:spacing w:line="560" w:lineRule="exact"/>
        <w:ind w:firstLine="640"/>
        <w:jc w:val="left"/>
        <w:rPr>
          <w:rFonts w:ascii="仿宋" w:hAnsi="仿宋" w:eastAsia="仿宋" w:cs="仿宋"/>
          <w:color w:val="auto"/>
          <w:kern w:val="0"/>
          <w:sz w:val="24"/>
        </w:rPr>
      </w:pPr>
      <w:r>
        <w:rPr>
          <w:rFonts w:hint="eastAsia" w:ascii="仿宋" w:hAnsi="仿宋" w:eastAsia="仿宋" w:cs="仿宋"/>
          <w:color w:val="auto"/>
          <w:kern w:val="0"/>
          <w:sz w:val="24"/>
        </w:rPr>
        <w:t>1.我方具有良好的商业信誉和健全的财务会计制度。</w:t>
      </w:r>
    </w:p>
    <w:p>
      <w:pPr>
        <w:widowControl/>
        <w:shd w:val="clear" w:color="auto" w:fill="FFFFFF"/>
        <w:spacing w:line="560" w:lineRule="exact"/>
        <w:ind w:firstLine="640"/>
        <w:jc w:val="left"/>
        <w:rPr>
          <w:rFonts w:ascii="仿宋" w:hAnsi="仿宋" w:eastAsia="仿宋" w:cs="仿宋"/>
          <w:color w:val="auto"/>
          <w:kern w:val="0"/>
          <w:sz w:val="24"/>
        </w:rPr>
      </w:pPr>
      <w:r>
        <w:rPr>
          <w:rFonts w:hint="eastAsia" w:ascii="仿宋" w:hAnsi="仿宋" w:eastAsia="仿宋" w:cs="仿宋"/>
          <w:color w:val="auto"/>
          <w:kern w:val="0"/>
          <w:sz w:val="24"/>
        </w:rPr>
        <w:t>2.我方具有履行合同所必需的设备和专业技术能力。</w:t>
      </w:r>
    </w:p>
    <w:p>
      <w:pPr>
        <w:widowControl/>
        <w:shd w:val="clear" w:color="auto" w:fill="FFFFFF"/>
        <w:spacing w:line="560" w:lineRule="exact"/>
        <w:ind w:firstLine="640"/>
        <w:jc w:val="left"/>
        <w:rPr>
          <w:rFonts w:ascii="仿宋" w:hAnsi="仿宋" w:eastAsia="仿宋" w:cs="仿宋"/>
          <w:color w:val="auto"/>
          <w:kern w:val="0"/>
          <w:sz w:val="24"/>
        </w:rPr>
      </w:pPr>
      <w:r>
        <w:rPr>
          <w:rFonts w:hint="eastAsia" w:ascii="仿宋" w:hAnsi="仿宋" w:eastAsia="仿宋" w:cs="仿宋"/>
          <w:color w:val="auto"/>
          <w:kern w:val="0"/>
          <w:sz w:val="24"/>
        </w:rPr>
        <w:t>3.我方具有依法缴纳税收和社会保障资金的良好记录。</w:t>
      </w:r>
    </w:p>
    <w:p>
      <w:pPr>
        <w:widowControl/>
        <w:shd w:val="clear" w:color="auto" w:fill="FFFFFF"/>
        <w:spacing w:line="560" w:lineRule="exact"/>
        <w:ind w:firstLine="640"/>
        <w:jc w:val="left"/>
        <w:rPr>
          <w:rFonts w:ascii="仿宋" w:hAnsi="仿宋" w:eastAsia="仿宋" w:cs="仿宋"/>
          <w:color w:val="auto"/>
          <w:kern w:val="0"/>
          <w:sz w:val="24"/>
        </w:rPr>
      </w:pPr>
      <w:r>
        <w:rPr>
          <w:rFonts w:hint="eastAsia" w:ascii="仿宋" w:hAnsi="仿宋" w:eastAsia="仿宋" w:cs="仿宋"/>
          <w:color w:val="auto"/>
          <w:kern w:val="0"/>
          <w:sz w:val="24"/>
        </w:rPr>
        <w:t>4.</w:t>
      </w:r>
      <w:r>
        <w:rPr>
          <w:rFonts w:hint="eastAsia" w:ascii="仿宋" w:hAnsi="仿宋" w:eastAsia="仿宋" w:cs="仿宋"/>
          <w:color w:val="auto"/>
          <w:sz w:val="24"/>
        </w:rPr>
        <w:t>我方参加本项目采购活动前三年内，在经营活动中没有重大违法记录。</w:t>
      </w:r>
    </w:p>
    <w:p>
      <w:pPr>
        <w:widowControl/>
        <w:shd w:val="clear" w:color="auto" w:fill="FFFFFF"/>
        <w:spacing w:line="560" w:lineRule="exact"/>
        <w:ind w:firstLine="640"/>
        <w:jc w:val="left"/>
        <w:rPr>
          <w:rFonts w:ascii="仿宋" w:hAnsi="仿宋" w:eastAsia="仿宋" w:cs="仿宋"/>
          <w:color w:val="auto"/>
          <w:kern w:val="0"/>
          <w:sz w:val="24"/>
        </w:rPr>
      </w:pPr>
      <w:r>
        <w:rPr>
          <w:rFonts w:hint="eastAsia" w:ascii="仿宋" w:hAnsi="仿宋" w:eastAsia="仿宋" w:cs="仿宋"/>
          <w:color w:val="auto"/>
          <w:kern w:val="0"/>
          <w:sz w:val="24"/>
        </w:rPr>
        <w:t>若我单位承诺不实，自愿承担提供虚假材料谋取中标、成交的法律责任。</w:t>
      </w:r>
    </w:p>
    <w:p>
      <w:pPr>
        <w:rPr>
          <w:rFonts w:ascii="仿宋" w:hAnsi="仿宋" w:eastAsia="仿宋" w:cs="仿宋"/>
          <w:color w:val="auto"/>
          <w:sz w:val="24"/>
        </w:rPr>
      </w:pPr>
    </w:p>
    <w:p>
      <w:pPr>
        <w:widowControl/>
        <w:shd w:val="clear" w:color="auto" w:fill="FFFFFF"/>
        <w:spacing w:line="560" w:lineRule="exact"/>
        <w:ind w:firstLine="640"/>
        <w:jc w:val="left"/>
        <w:rPr>
          <w:rFonts w:ascii="仿宋" w:hAnsi="仿宋" w:eastAsia="仿宋" w:cs="仿宋"/>
          <w:color w:val="auto"/>
          <w:kern w:val="0"/>
          <w:sz w:val="24"/>
        </w:rPr>
      </w:pPr>
      <w:r>
        <w:rPr>
          <w:rFonts w:hint="eastAsia" w:ascii="仿宋" w:hAnsi="仿宋" w:eastAsia="仿宋" w:cs="仿宋"/>
          <w:color w:val="auto"/>
          <w:kern w:val="0"/>
          <w:sz w:val="24"/>
        </w:rPr>
        <w:t>投标（响应）供应商（全称并盖章）：</w:t>
      </w:r>
      <w:r>
        <w:rPr>
          <w:rFonts w:hint="eastAsia" w:ascii="仿宋" w:hAnsi="仿宋" w:eastAsia="仿宋" w:cs="仿宋"/>
          <w:color w:val="auto"/>
          <w:kern w:val="0"/>
          <w:sz w:val="24"/>
          <w:u w:val="single"/>
        </w:rPr>
        <w:t>        </w:t>
      </w:r>
      <w:r>
        <w:rPr>
          <w:rFonts w:hint="eastAsia" w:ascii="仿宋" w:hAnsi="仿宋" w:eastAsia="仿宋" w:cs="仿宋"/>
          <w:color w:val="auto"/>
          <w:kern w:val="0"/>
          <w:sz w:val="24"/>
        </w:rPr>
        <w:t> </w:t>
      </w:r>
    </w:p>
    <w:p>
      <w:pPr>
        <w:widowControl/>
        <w:shd w:val="clear" w:color="auto" w:fill="FFFFFF"/>
        <w:spacing w:line="560" w:lineRule="exact"/>
        <w:ind w:firstLine="640"/>
        <w:jc w:val="left"/>
        <w:rPr>
          <w:rFonts w:ascii="仿宋" w:hAnsi="仿宋" w:eastAsia="仿宋" w:cs="仿宋"/>
          <w:color w:val="auto"/>
          <w:kern w:val="0"/>
          <w:sz w:val="24"/>
        </w:rPr>
      </w:pPr>
      <w:r>
        <w:rPr>
          <w:rFonts w:hint="eastAsia" w:ascii="仿宋" w:hAnsi="仿宋" w:eastAsia="仿宋" w:cs="仿宋"/>
          <w:color w:val="auto"/>
          <w:kern w:val="0"/>
          <w:sz w:val="24"/>
        </w:rPr>
        <w:t>供应商法定代表人（负责人）或授权代表（签字或签章）：</w:t>
      </w:r>
      <w:r>
        <w:rPr>
          <w:rFonts w:hint="eastAsia" w:ascii="仿宋" w:hAnsi="仿宋" w:eastAsia="仿宋" w:cs="仿宋"/>
          <w:color w:val="auto"/>
          <w:kern w:val="0"/>
          <w:sz w:val="24"/>
          <w:u w:val="single"/>
        </w:rPr>
        <w:t>    </w:t>
      </w:r>
    </w:p>
    <w:p>
      <w:pPr>
        <w:widowControl/>
        <w:shd w:val="clear" w:color="auto" w:fill="FFFFFF"/>
        <w:spacing w:line="560" w:lineRule="exact"/>
        <w:ind w:firstLine="640"/>
        <w:jc w:val="left"/>
        <w:rPr>
          <w:rFonts w:ascii="仿宋" w:hAnsi="仿宋" w:eastAsia="仿宋" w:cs="仿宋"/>
          <w:color w:val="auto"/>
          <w:kern w:val="0"/>
          <w:sz w:val="24"/>
        </w:rPr>
      </w:pPr>
      <w:r>
        <w:rPr>
          <w:rFonts w:hint="eastAsia" w:ascii="仿宋" w:hAnsi="仿宋" w:eastAsia="仿宋" w:cs="仿宋"/>
          <w:color w:val="auto"/>
          <w:kern w:val="0"/>
          <w:sz w:val="24"/>
        </w:rPr>
        <w:t>日期：</w:t>
      </w:r>
      <w:r>
        <w:rPr>
          <w:rFonts w:hint="eastAsia" w:ascii="仿宋" w:hAnsi="仿宋" w:eastAsia="仿宋" w:cs="仿宋"/>
          <w:color w:val="auto"/>
          <w:kern w:val="0"/>
          <w:sz w:val="24"/>
          <w:u w:val="single"/>
        </w:rPr>
        <w:t>     </w:t>
      </w:r>
    </w:p>
    <w:p>
      <w:pPr>
        <w:widowControl/>
        <w:shd w:val="clear" w:color="auto" w:fill="FFFFFF"/>
        <w:spacing w:line="560" w:lineRule="exact"/>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w:t>
      </w:r>
    </w:p>
    <w:p>
      <w:pPr>
        <w:widowControl/>
        <w:shd w:val="clear" w:color="auto" w:fill="FFFFFF"/>
        <w:spacing w:line="560" w:lineRule="exact"/>
        <w:jc w:val="left"/>
        <w:rPr>
          <w:rFonts w:ascii="仿宋" w:hAnsi="仿宋" w:eastAsia="仿宋" w:cs="仿宋"/>
          <w:color w:val="auto"/>
          <w:kern w:val="0"/>
          <w:szCs w:val="21"/>
        </w:rPr>
      </w:pPr>
      <w:r>
        <w:rPr>
          <w:rFonts w:hint="eastAsia" w:ascii="仿宋" w:hAnsi="仿宋" w:eastAsia="仿宋" w:cs="仿宋"/>
          <w:color w:val="auto"/>
          <w:kern w:val="0"/>
          <w:szCs w:val="21"/>
        </w:rPr>
        <w:t>说明：</w:t>
      </w:r>
    </w:p>
    <w:p>
      <w:pPr>
        <w:widowControl/>
        <w:shd w:val="clear" w:color="auto" w:fill="FFFFFF"/>
        <w:spacing w:line="560" w:lineRule="exact"/>
        <w:ind w:firstLine="420" w:firstLineChars="200"/>
        <w:jc w:val="left"/>
        <w:rPr>
          <w:rFonts w:ascii="仿宋" w:hAnsi="仿宋" w:eastAsia="仿宋" w:cs="仿宋"/>
          <w:color w:val="auto"/>
          <w:kern w:val="0"/>
          <w:szCs w:val="21"/>
        </w:rPr>
      </w:pPr>
      <w:r>
        <w:rPr>
          <w:rFonts w:hint="eastAsia" w:ascii="仿宋" w:hAnsi="仿宋" w:eastAsia="仿宋" w:cs="仿宋"/>
          <w:color w:val="auto"/>
          <w:kern w:val="0"/>
          <w:szCs w:val="21"/>
        </w:rPr>
        <w:t>1.供应商可自行选择是否提供本承诺函，若不提供本承诺函的，应按采购文件要求提供相应的证明材料。</w:t>
      </w:r>
    </w:p>
    <w:p>
      <w:pPr>
        <w:widowControl/>
        <w:shd w:val="clear" w:color="auto" w:fill="FFFFFF"/>
        <w:spacing w:line="560" w:lineRule="exact"/>
        <w:ind w:firstLine="420" w:firstLineChars="200"/>
        <w:jc w:val="left"/>
        <w:rPr>
          <w:rFonts w:ascii="仿宋" w:hAnsi="仿宋" w:eastAsia="仿宋" w:cs="仿宋"/>
          <w:b/>
          <w:color w:val="auto"/>
          <w:szCs w:val="21"/>
        </w:rPr>
      </w:pPr>
      <w:r>
        <w:rPr>
          <w:rFonts w:hint="eastAsia" w:ascii="仿宋" w:hAnsi="仿宋" w:eastAsia="仿宋" w:cs="仿宋"/>
          <w:color w:val="auto"/>
          <w:kern w:val="0"/>
          <w:szCs w:val="21"/>
        </w:rPr>
        <w:t>2.供应商可删减承诺事项，删减的承诺事项须按采购文件要求提供相应的证明材料。比如删去本承诺函第3项的，则应按采购文件要求提供依法缴纳税收和社会保障资金的良好记录。</w:t>
      </w:r>
    </w:p>
    <w:p>
      <w:pPr>
        <w:pStyle w:val="3"/>
        <w:spacing w:line="240" w:lineRule="auto"/>
        <w:rPr>
          <w:rFonts w:ascii="仿宋" w:hAnsi="仿宋" w:eastAsia="仿宋" w:cs="仿宋"/>
          <w:color w:val="auto"/>
          <w:sz w:val="30"/>
          <w:szCs w:val="30"/>
        </w:rPr>
      </w:pPr>
      <w:r>
        <w:rPr>
          <w:rFonts w:hint="eastAsia" w:ascii="仿宋" w:hAnsi="仿宋" w:eastAsia="仿宋" w:cs="仿宋"/>
          <w:b w:val="0"/>
          <w:bCs/>
          <w:color w:val="auto"/>
          <w:sz w:val="28"/>
          <w:szCs w:val="28"/>
        </w:rPr>
        <w:br w:type="page"/>
      </w:r>
      <w:bookmarkStart w:id="191" w:name="_Toc105940967"/>
      <w:bookmarkStart w:id="192" w:name="_Toc105940885"/>
      <w:r>
        <w:rPr>
          <w:rFonts w:hint="eastAsia" w:ascii="仿宋" w:hAnsi="仿宋" w:eastAsia="仿宋" w:cs="仿宋"/>
          <w:color w:val="auto"/>
          <w:sz w:val="30"/>
          <w:szCs w:val="30"/>
        </w:rPr>
        <w:t>十、法人授权委托书</w:t>
      </w:r>
      <w:bookmarkEnd w:id="191"/>
      <w:bookmarkEnd w:id="192"/>
    </w:p>
    <w:p>
      <w:pPr>
        <w:widowControl/>
        <w:spacing w:line="360" w:lineRule="auto"/>
        <w:rPr>
          <w:rFonts w:ascii="仿宋" w:hAnsi="仿宋" w:eastAsia="仿宋" w:cs="仿宋"/>
          <w:color w:val="auto"/>
          <w:sz w:val="24"/>
        </w:rPr>
      </w:pPr>
      <w:r>
        <w:rPr>
          <w:rFonts w:hint="eastAsia" w:ascii="仿宋" w:hAnsi="仿宋" w:eastAsia="仿宋" w:cs="仿宋"/>
          <w:color w:val="auto"/>
          <w:sz w:val="24"/>
        </w:rPr>
        <w:t>本授权书声明：</w:t>
      </w:r>
      <w:r>
        <w:rPr>
          <w:rFonts w:hint="eastAsia" w:ascii="仿宋" w:hAnsi="仿宋" w:eastAsia="仿宋" w:cs="仿宋"/>
          <w:color w:val="auto"/>
          <w:sz w:val="24"/>
          <w:u w:val="single"/>
        </w:rPr>
        <w:t xml:space="preserve"> （供应商名称） </w:t>
      </w:r>
      <w:r>
        <w:rPr>
          <w:rFonts w:hint="eastAsia" w:ascii="仿宋" w:hAnsi="仿宋" w:eastAsia="仿宋" w:cs="仿宋"/>
          <w:color w:val="auto"/>
          <w:sz w:val="24"/>
        </w:rPr>
        <w:t>法定代表人（负责人）</w:t>
      </w:r>
      <w:r>
        <w:rPr>
          <w:rFonts w:hint="eastAsia" w:ascii="仿宋" w:hAnsi="仿宋" w:eastAsia="仿宋" w:cs="仿宋"/>
          <w:color w:val="auto"/>
          <w:sz w:val="24"/>
          <w:u w:val="single"/>
        </w:rPr>
        <w:t xml:space="preserve"> （姓名） </w:t>
      </w:r>
      <w:r>
        <w:rPr>
          <w:rFonts w:hint="eastAsia" w:ascii="仿宋" w:hAnsi="仿宋" w:eastAsia="仿宋" w:cs="仿宋"/>
          <w:color w:val="auto"/>
          <w:sz w:val="24"/>
        </w:rPr>
        <w:t>授权</w:t>
      </w:r>
      <w:r>
        <w:rPr>
          <w:rFonts w:hint="eastAsia" w:ascii="仿宋" w:hAnsi="仿宋" w:eastAsia="仿宋" w:cs="仿宋"/>
          <w:color w:val="auto"/>
          <w:sz w:val="24"/>
          <w:u w:val="single"/>
        </w:rPr>
        <w:t>（委托代理人的姓名、职务）</w:t>
      </w:r>
      <w:r>
        <w:rPr>
          <w:rFonts w:hint="eastAsia" w:ascii="仿宋" w:hAnsi="仿宋" w:eastAsia="仿宋" w:cs="仿宋"/>
          <w:color w:val="auto"/>
          <w:sz w:val="24"/>
        </w:rPr>
        <w:t>为我方就</w:t>
      </w:r>
      <w:r>
        <w:rPr>
          <w:rFonts w:hint="eastAsia" w:ascii="仿宋" w:hAnsi="仿宋" w:eastAsia="仿宋" w:cs="仿宋"/>
          <w:color w:val="auto"/>
          <w:kern w:val="0"/>
          <w:sz w:val="24"/>
        </w:rPr>
        <w:t>扬中市人民医院团体重大疾病保险服务采购项目</w:t>
      </w:r>
      <w:r>
        <w:rPr>
          <w:rFonts w:hint="eastAsia" w:ascii="仿宋" w:hAnsi="仿宋" w:eastAsia="仿宋" w:cs="仿宋"/>
          <w:color w:val="auto"/>
          <w:sz w:val="24"/>
        </w:rPr>
        <w:t>的投标活动的合法代理人，以本公司名义全权处理一切与该项目投标有关的事务（含合同签订）。</w:t>
      </w:r>
    </w:p>
    <w:p>
      <w:pPr>
        <w:rPr>
          <w:rFonts w:ascii="仿宋" w:hAnsi="仿宋" w:eastAsia="仿宋" w:cs="仿宋"/>
          <w:color w:val="auto"/>
          <w:sz w:val="24"/>
        </w:rPr>
      </w:pPr>
    </w:p>
    <w:p>
      <w:pPr>
        <w:pStyle w:val="13"/>
        <w:rPr>
          <w:rFonts w:ascii="仿宋" w:hAnsi="仿宋" w:eastAsia="仿宋" w:cs="仿宋"/>
          <w:color w:val="auto"/>
        </w:rPr>
      </w:pP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本授权书于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日签字生效，特此声明。</w:t>
      </w:r>
    </w:p>
    <w:p>
      <w:pPr>
        <w:spacing w:line="360" w:lineRule="auto"/>
        <w:ind w:firstLine="645"/>
        <w:rPr>
          <w:rFonts w:ascii="仿宋" w:hAnsi="仿宋" w:eastAsia="仿宋" w:cs="仿宋"/>
          <w:color w:val="auto"/>
          <w:sz w:val="24"/>
        </w:rPr>
      </w:pPr>
    </w:p>
    <w:p>
      <w:pPr>
        <w:pStyle w:val="13"/>
        <w:rPr>
          <w:rFonts w:ascii="仿宋" w:hAnsi="仿宋" w:eastAsia="仿宋" w:cs="仿宋"/>
          <w:color w:val="auto"/>
        </w:rPr>
      </w:pPr>
    </w:p>
    <w:p>
      <w:pPr>
        <w:spacing w:line="360" w:lineRule="auto"/>
        <w:rPr>
          <w:rFonts w:ascii="仿宋" w:hAnsi="仿宋" w:eastAsia="仿宋" w:cs="仿宋"/>
          <w:color w:val="auto"/>
          <w:sz w:val="24"/>
          <w:u w:val="single"/>
        </w:rPr>
      </w:pPr>
      <w:r>
        <w:rPr>
          <w:rFonts w:hint="eastAsia" w:ascii="仿宋" w:hAnsi="仿宋" w:eastAsia="仿宋" w:cs="仿宋"/>
          <w:color w:val="auto"/>
          <w:sz w:val="24"/>
        </w:rPr>
        <w:t>法定代表人（负责人）签字或盖章：</w:t>
      </w:r>
      <w:r>
        <w:rPr>
          <w:rFonts w:hint="eastAsia" w:ascii="仿宋" w:hAnsi="仿宋" w:eastAsia="仿宋" w:cs="仿宋"/>
          <w:color w:val="auto"/>
          <w:sz w:val="24"/>
          <w:u w:val="single"/>
        </w:rPr>
        <w:t xml:space="preserve">              </w:t>
      </w:r>
    </w:p>
    <w:p>
      <w:pPr>
        <w:spacing w:after="240" w:line="360" w:lineRule="auto"/>
        <w:rPr>
          <w:rFonts w:ascii="仿宋" w:hAnsi="仿宋" w:eastAsia="仿宋" w:cs="仿宋"/>
          <w:color w:val="auto"/>
          <w:sz w:val="24"/>
          <w:u w:val="single"/>
        </w:rPr>
      </w:pPr>
      <w:r>
        <w:rPr>
          <w:rFonts w:hint="eastAsia" w:ascii="仿宋" w:hAnsi="仿宋" w:eastAsia="仿宋" w:cs="仿宋"/>
          <w:color w:val="auto"/>
          <w:sz w:val="24"/>
        </w:rPr>
        <w:t>职    务：</w:t>
      </w:r>
      <w:r>
        <w:rPr>
          <w:rFonts w:hint="eastAsia" w:ascii="仿宋" w:hAnsi="仿宋" w:eastAsia="仿宋" w:cs="仿宋"/>
          <w:color w:val="auto"/>
          <w:sz w:val="24"/>
          <w:u w:val="single"/>
        </w:rPr>
        <w:t xml:space="preserve">              </w:t>
      </w:r>
    </w:p>
    <w:p>
      <w:pPr>
        <w:spacing w:after="240" w:line="360" w:lineRule="auto"/>
        <w:rPr>
          <w:rFonts w:ascii="仿宋" w:hAnsi="仿宋" w:eastAsia="仿宋" w:cs="仿宋"/>
          <w:color w:val="auto"/>
          <w:sz w:val="24"/>
        </w:rPr>
      </w:pPr>
    </w:p>
    <w:p>
      <w:pPr>
        <w:spacing w:line="360" w:lineRule="auto"/>
        <w:rPr>
          <w:rFonts w:ascii="仿宋" w:hAnsi="仿宋" w:eastAsia="仿宋" w:cs="仿宋"/>
          <w:color w:val="auto"/>
          <w:sz w:val="24"/>
        </w:rPr>
      </w:pPr>
      <w:r>
        <w:rPr>
          <w:rFonts w:hint="eastAsia" w:ascii="仿宋" w:hAnsi="仿宋" w:eastAsia="仿宋" w:cs="仿宋"/>
          <w:color w:val="auto"/>
          <w:sz w:val="24"/>
        </w:rPr>
        <w:t>授权委托代理人签字：</w:t>
      </w:r>
      <w:r>
        <w:rPr>
          <w:rFonts w:hint="eastAsia" w:ascii="仿宋" w:hAnsi="仿宋" w:eastAsia="仿宋" w:cs="仿宋"/>
          <w:color w:val="auto"/>
          <w:sz w:val="24"/>
          <w:u w:val="single"/>
        </w:rPr>
        <w:t xml:space="preserve">                </w:t>
      </w:r>
    </w:p>
    <w:p>
      <w:pPr>
        <w:spacing w:line="360" w:lineRule="auto"/>
        <w:rPr>
          <w:rFonts w:ascii="仿宋" w:hAnsi="仿宋" w:eastAsia="仿宋" w:cs="仿宋"/>
          <w:color w:val="auto"/>
          <w:sz w:val="24"/>
        </w:rPr>
      </w:pPr>
      <w:r>
        <w:rPr>
          <w:rFonts w:hint="eastAsia" w:ascii="仿宋" w:hAnsi="仿宋" w:eastAsia="仿宋" w:cs="仿宋"/>
          <w:color w:val="auto"/>
          <w:sz w:val="24"/>
        </w:rPr>
        <w:t>职    务：</w:t>
      </w:r>
      <w:r>
        <w:rPr>
          <w:rFonts w:hint="eastAsia" w:ascii="仿宋" w:hAnsi="仿宋" w:eastAsia="仿宋" w:cs="仿宋"/>
          <w:color w:val="auto"/>
          <w:sz w:val="24"/>
          <w:u w:val="single"/>
        </w:rPr>
        <w:t xml:space="preserve">                </w:t>
      </w:r>
    </w:p>
    <w:p>
      <w:pPr>
        <w:spacing w:before="240" w:line="360" w:lineRule="auto"/>
        <w:rPr>
          <w:rFonts w:ascii="仿宋" w:hAnsi="仿宋" w:eastAsia="仿宋" w:cs="仿宋"/>
          <w:color w:val="auto"/>
          <w:sz w:val="24"/>
        </w:rPr>
      </w:pPr>
    </w:p>
    <w:p>
      <w:pPr>
        <w:spacing w:before="240" w:line="360" w:lineRule="auto"/>
        <w:rPr>
          <w:rFonts w:ascii="仿宋" w:hAnsi="仿宋" w:eastAsia="仿宋" w:cs="仿宋"/>
          <w:color w:val="auto"/>
          <w:sz w:val="24"/>
        </w:rPr>
      </w:pPr>
      <w:r>
        <w:rPr>
          <w:rFonts w:hint="eastAsia" w:ascii="仿宋" w:hAnsi="仿宋" w:eastAsia="仿宋" w:cs="仿宋"/>
          <w:color w:val="auto"/>
          <w:sz w:val="24"/>
        </w:rPr>
        <w:t>供应商名称（公章）：</w:t>
      </w:r>
    </w:p>
    <w:p>
      <w:pPr>
        <w:spacing w:after="240" w:line="360" w:lineRule="auto"/>
        <w:rPr>
          <w:rFonts w:ascii="仿宋" w:hAnsi="仿宋" w:eastAsia="仿宋" w:cs="仿宋"/>
          <w:color w:val="auto"/>
          <w:sz w:val="24"/>
          <w:u w:val="single"/>
        </w:rPr>
      </w:pPr>
      <w:r>
        <w:rPr>
          <w:rFonts w:hint="eastAsia" w:ascii="仿宋" w:hAnsi="仿宋" w:eastAsia="仿宋" w:cs="仿宋"/>
          <w:color w:val="auto"/>
          <w:sz w:val="24"/>
        </w:rPr>
        <w:t>日     期：</w:t>
      </w:r>
    </w:p>
    <w:p>
      <w:pPr>
        <w:rPr>
          <w:rFonts w:ascii="仿宋" w:hAnsi="仿宋" w:eastAsia="仿宋" w:cs="仿宋"/>
          <w:color w:val="auto"/>
          <w:sz w:val="24"/>
        </w:rPr>
      </w:pPr>
    </w:p>
    <w:p>
      <w:pPr>
        <w:pStyle w:val="11"/>
        <w:rPr>
          <w:rFonts w:ascii="仿宋" w:hAnsi="仿宋" w:eastAsia="仿宋" w:cs="仿宋"/>
          <w:color w:val="auto"/>
          <w:sz w:val="24"/>
          <w:szCs w:val="24"/>
        </w:rPr>
      </w:pPr>
    </w:p>
    <w:p>
      <w:pPr>
        <w:rPr>
          <w:rFonts w:ascii="仿宋" w:hAnsi="仿宋" w:eastAsia="仿宋" w:cs="仿宋"/>
          <w:color w:val="auto"/>
          <w:sz w:val="24"/>
        </w:rPr>
      </w:pPr>
    </w:p>
    <w:p>
      <w:pPr>
        <w:rPr>
          <w:rFonts w:ascii="仿宋" w:hAnsi="仿宋" w:eastAsia="仿宋" w:cs="仿宋"/>
          <w:color w:val="auto"/>
          <w:sz w:val="24"/>
        </w:rPr>
      </w:pPr>
    </w:p>
    <w:p>
      <w:pPr>
        <w:spacing w:line="360" w:lineRule="auto"/>
        <w:rPr>
          <w:rFonts w:ascii="仿宋" w:hAnsi="仿宋" w:eastAsia="仿宋" w:cs="仿宋"/>
          <w:b/>
          <w:color w:val="auto"/>
          <w:sz w:val="24"/>
        </w:rPr>
      </w:pPr>
      <w:r>
        <w:rPr>
          <w:rFonts w:hint="eastAsia" w:ascii="仿宋" w:hAnsi="仿宋" w:eastAsia="仿宋" w:cs="仿宋"/>
          <w:b/>
          <w:color w:val="auto"/>
          <w:sz w:val="24"/>
        </w:rPr>
        <w:t>附：委托代理人居民身份证复印件</w:t>
      </w:r>
      <w:bookmarkStart w:id="193" w:name="_Toc105940968"/>
      <w:bookmarkStart w:id="194" w:name="_Toc105940886"/>
    </w:p>
    <w:p>
      <w:pPr>
        <w:spacing w:line="360" w:lineRule="auto"/>
        <w:rPr>
          <w:rFonts w:ascii="仿宋" w:hAnsi="仿宋" w:eastAsia="仿宋" w:cs="仿宋"/>
          <w:b/>
          <w:color w:val="auto"/>
          <w:sz w:val="24"/>
        </w:rPr>
      </w:pPr>
      <w:r>
        <w:rPr>
          <w:rFonts w:hint="eastAsia" w:ascii="仿宋" w:hAnsi="仿宋" w:eastAsia="仿宋" w:cs="仿宋"/>
          <w:b/>
          <w:color w:val="auto"/>
          <w:sz w:val="24"/>
        </w:rPr>
        <w:t>备注：</w:t>
      </w:r>
    </w:p>
    <w:p>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“法定代表人（负责人）”授权其他人（必须为供应商正式员工，证明材料：劳动合同或社保交纳材料附后）投标的，需填写法定代表人（负责人）身份证明书和本委托书，委托代理人居民身份证携带备查。</w:t>
      </w:r>
      <w:bookmarkEnd w:id="193"/>
      <w:bookmarkEnd w:id="194"/>
    </w:p>
    <w:p>
      <w:pPr>
        <w:pStyle w:val="3"/>
        <w:spacing w:line="240" w:lineRule="auto"/>
        <w:rPr>
          <w:rFonts w:ascii="仿宋" w:hAnsi="仿宋" w:eastAsia="仿宋" w:cs="仿宋"/>
          <w:color w:val="auto"/>
          <w:sz w:val="30"/>
          <w:szCs w:val="30"/>
        </w:rPr>
      </w:pPr>
      <w:r>
        <w:rPr>
          <w:rFonts w:hint="eastAsia" w:ascii="仿宋" w:hAnsi="仿宋" w:eastAsia="仿宋" w:cs="仿宋"/>
          <w:color w:val="auto"/>
        </w:rPr>
        <w:br w:type="page"/>
      </w:r>
      <w:bookmarkEnd w:id="118"/>
      <w:bookmarkEnd w:id="119"/>
      <w:bookmarkEnd w:id="120"/>
      <w:bookmarkEnd w:id="121"/>
      <w:bookmarkEnd w:id="122"/>
      <w:bookmarkStart w:id="195" w:name="_Toc105940887"/>
      <w:bookmarkStart w:id="196" w:name="_Toc105940969"/>
      <w:r>
        <w:rPr>
          <w:rFonts w:hint="eastAsia" w:ascii="仿宋" w:hAnsi="仿宋" w:eastAsia="仿宋" w:cs="仿宋"/>
          <w:color w:val="auto"/>
          <w:sz w:val="30"/>
          <w:szCs w:val="30"/>
        </w:rPr>
        <w:t>十一、法定代表人（负责人）身份证明书</w:t>
      </w:r>
      <w:bookmarkEnd w:id="195"/>
      <w:bookmarkEnd w:id="196"/>
    </w:p>
    <w:p>
      <w:pPr>
        <w:spacing w:line="360" w:lineRule="auto"/>
        <w:ind w:firstLine="600" w:firstLineChars="250"/>
        <w:rPr>
          <w:rFonts w:ascii="仿宋" w:hAnsi="仿宋" w:eastAsia="仿宋" w:cs="仿宋"/>
          <w:color w:val="auto"/>
          <w:sz w:val="24"/>
        </w:rPr>
      </w:pPr>
      <w:r>
        <w:rPr>
          <w:rFonts w:hint="eastAsia" w:ascii="仿宋" w:hAnsi="仿宋" w:eastAsia="仿宋" w:cs="仿宋"/>
          <w:color w:val="auto"/>
          <w:sz w:val="24"/>
        </w:rPr>
        <w:t>兹证明</w:t>
      </w:r>
      <w:r>
        <w:rPr>
          <w:rFonts w:hint="eastAsia" w:ascii="仿宋" w:hAnsi="仿宋" w:eastAsia="仿宋" w:cs="仿宋"/>
          <w:color w:val="auto"/>
          <w:sz w:val="24"/>
          <w:u w:val="single"/>
        </w:rPr>
        <w:t xml:space="preserve"> （姓名） </w:t>
      </w:r>
      <w:r>
        <w:rPr>
          <w:rFonts w:hint="eastAsia" w:ascii="仿宋" w:hAnsi="仿宋" w:eastAsia="仿宋" w:cs="仿宋"/>
          <w:color w:val="auto"/>
          <w:sz w:val="24"/>
        </w:rPr>
        <w:t>同志，性别</w:t>
      </w:r>
      <w:r>
        <w:rPr>
          <w:rFonts w:hint="eastAsia" w:ascii="仿宋" w:hAnsi="仿宋" w:eastAsia="仿宋" w:cs="仿宋"/>
          <w:color w:val="auto"/>
          <w:sz w:val="24"/>
          <w:u w:val="single"/>
        </w:rPr>
        <w:t xml:space="preserve">     </w:t>
      </w:r>
      <w:r>
        <w:rPr>
          <w:rFonts w:hint="eastAsia" w:ascii="仿宋" w:hAnsi="仿宋" w:eastAsia="仿宋" w:cs="仿宋"/>
          <w:color w:val="auto"/>
          <w:sz w:val="24"/>
        </w:rPr>
        <w:t>，居民身份证号</w:t>
      </w:r>
      <w:r>
        <w:rPr>
          <w:rFonts w:hint="eastAsia" w:ascii="仿宋" w:hAnsi="仿宋" w:eastAsia="仿宋" w:cs="仿宋"/>
          <w:color w:val="auto"/>
          <w:sz w:val="24"/>
          <w:u w:val="single"/>
        </w:rPr>
        <w:t xml:space="preserve">           </w:t>
      </w:r>
      <w:r>
        <w:rPr>
          <w:rFonts w:hint="eastAsia" w:ascii="仿宋" w:hAnsi="仿宋" w:eastAsia="仿宋" w:cs="仿宋"/>
          <w:color w:val="auto"/>
          <w:sz w:val="24"/>
        </w:rPr>
        <w:t>，在我单位任</w:t>
      </w:r>
      <w:r>
        <w:rPr>
          <w:rFonts w:hint="eastAsia" w:ascii="仿宋" w:hAnsi="仿宋" w:eastAsia="仿宋" w:cs="仿宋"/>
          <w:color w:val="auto"/>
          <w:sz w:val="24"/>
          <w:u w:val="single"/>
        </w:rPr>
        <w:t xml:space="preserve">               </w:t>
      </w:r>
      <w:r>
        <w:rPr>
          <w:rFonts w:hint="eastAsia" w:ascii="仿宋" w:hAnsi="仿宋" w:eastAsia="仿宋" w:cs="仿宋"/>
          <w:color w:val="auto"/>
          <w:sz w:val="24"/>
        </w:rPr>
        <w:t>职务，系我单位主要负责人即法定代表人（负责人）。</w:t>
      </w:r>
    </w:p>
    <w:p>
      <w:pPr>
        <w:spacing w:line="360" w:lineRule="auto"/>
        <w:rPr>
          <w:rFonts w:ascii="仿宋" w:hAnsi="仿宋" w:eastAsia="仿宋" w:cs="仿宋"/>
          <w:color w:val="auto"/>
          <w:sz w:val="24"/>
        </w:rPr>
      </w:pPr>
    </w:p>
    <w:p>
      <w:pPr>
        <w:spacing w:line="360" w:lineRule="auto"/>
        <w:rPr>
          <w:rFonts w:ascii="仿宋" w:hAnsi="仿宋" w:eastAsia="仿宋" w:cs="仿宋"/>
          <w:color w:val="auto"/>
          <w:sz w:val="24"/>
        </w:rPr>
      </w:pPr>
      <w:r>
        <w:rPr>
          <w:rFonts w:hint="eastAsia" w:ascii="仿宋" w:hAnsi="仿宋" w:eastAsia="仿宋" w:cs="仿宋"/>
          <w:color w:val="auto"/>
          <w:sz w:val="24"/>
        </w:rPr>
        <w:t>单位地址：</w:t>
      </w:r>
    </w:p>
    <w:p>
      <w:pPr>
        <w:pStyle w:val="13"/>
        <w:rPr>
          <w:rFonts w:ascii="仿宋" w:hAnsi="仿宋" w:eastAsia="仿宋" w:cs="仿宋"/>
          <w:color w:val="auto"/>
        </w:rPr>
      </w:pPr>
    </w:p>
    <w:p>
      <w:pPr>
        <w:spacing w:line="360" w:lineRule="auto"/>
        <w:rPr>
          <w:rFonts w:ascii="仿宋" w:hAnsi="仿宋" w:eastAsia="仿宋" w:cs="仿宋"/>
          <w:color w:val="auto"/>
          <w:sz w:val="24"/>
        </w:rPr>
      </w:pPr>
      <w:r>
        <w:rPr>
          <w:rFonts w:hint="eastAsia" w:ascii="仿宋" w:hAnsi="仿宋" w:eastAsia="仿宋" w:cs="仿宋"/>
          <w:color w:val="auto"/>
          <w:sz w:val="24"/>
        </w:rPr>
        <w:t>电    话：</w:t>
      </w:r>
    </w:p>
    <w:p>
      <w:pPr>
        <w:pStyle w:val="13"/>
        <w:rPr>
          <w:rFonts w:ascii="仿宋" w:hAnsi="仿宋" w:eastAsia="仿宋" w:cs="仿宋"/>
          <w:color w:val="auto"/>
        </w:rPr>
      </w:pPr>
    </w:p>
    <w:p>
      <w:pPr>
        <w:spacing w:line="360" w:lineRule="auto"/>
        <w:rPr>
          <w:rFonts w:ascii="仿宋" w:hAnsi="仿宋" w:eastAsia="仿宋" w:cs="仿宋"/>
          <w:color w:val="auto"/>
          <w:sz w:val="24"/>
        </w:rPr>
      </w:pPr>
      <w:r>
        <w:rPr>
          <w:rFonts w:hint="eastAsia" w:ascii="仿宋" w:hAnsi="仿宋" w:eastAsia="仿宋" w:cs="仿宋"/>
          <w:color w:val="auto"/>
          <w:sz w:val="24"/>
        </w:rPr>
        <w:t>单位全称：</w:t>
      </w:r>
    </w:p>
    <w:p>
      <w:pPr>
        <w:pStyle w:val="13"/>
        <w:rPr>
          <w:rFonts w:ascii="仿宋" w:hAnsi="仿宋" w:eastAsia="仿宋" w:cs="仿宋"/>
          <w:color w:val="auto"/>
        </w:rPr>
      </w:pPr>
    </w:p>
    <w:p>
      <w:pPr>
        <w:spacing w:line="360" w:lineRule="auto"/>
        <w:rPr>
          <w:rFonts w:ascii="仿宋" w:hAnsi="仿宋" w:eastAsia="仿宋" w:cs="仿宋"/>
          <w:color w:val="auto"/>
          <w:sz w:val="24"/>
        </w:rPr>
      </w:pPr>
      <w:r>
        <w:rPr>
          <w:rFonts w:hint="eastAsia" w:ascii="仿宋" w:hAnsi="仿宋" w:eastAsia="仿宋" w:cs="仿宋"/>
          <w:color w:val="auto"/>
          <w:sz w:val="24"/>
        </w:rPr>
        <w:t xml:space="preserve">单位盖章： </w:t>
      </w:r>
    </w:p>
    <w:p>
      <w:pPr>
        <w:tabs>
          <w:tab w:val="left" w:pos="7290"/>
        </w:tabs>
        <w:spacing w:before="240" w:after="240" w:line="360" w:lineRule="auto"/>
        <w:jc w:val="right"/>
        <w:rPr>
          <w:rFonts w:ascii="仿宋" w:hAnsi="仿宋" w:eastAsia="仿宋" w:cs="仿宋"/>
          <w:color w:val="auto"/>
          <w:sz w:val="24"/>
        </w:rPr>
      </w:pPr>
      <w:r>
        <w:rPr>
          <w:rFonts w:hint="eastAsia" w:ascii="仿宋" w:hAnsi="仿宋" w:eastAsia="仿宋" w:cs="仿宋"/>
          <w:color w:val="auto"/>
          <w:sz w:val="24"/>
        </w:rPr>
        <w:t>年     月    日</w:t>
      </w:r>
    </w:p>
    <w:p>
      <w:pPr>
        <w:rPr>
          <w:rFonts w:ascii="仿宋" w:hAnsi="仿宋" w:eastAsia="仿宋" w:cs="仿宋"/>
          <w:color w:val="auto"/>
          <w:sz w:val="24"/>
        </w:rPr>
      </w:pPr>
    </w:p>
    <w:p>
      <w:pPr>
        <w:rPr>
          <w:rFonts w:ascii="仿宋" w:hAnsi="仿宋" w:eastAsia="仿宋" w:cs="仿宋"/>
          <w:color w:val="auto"/>
          <w:sz w:val="24"/>
        </w:rPr>
      </w:pPr>
    </w:p>
    <w:p>
      <w:pPr>
        <w:spacing w:before="240" w:line="360" w:lineRule="auto"/>
        <w:jc w:val="left"/>
        <w:rPr>
          <w:rFonts w:ascii="仿宋" w:hAnsi="仿宋" w:eastAsia="仿宋" w:cs="仿宋"/>
          <w:b/>
          <w:color w:val="auto"/>
          <w:sz w:val="24"/>
        </w:rPr>
      </w:pPr>
      <w:r>
        <w:rPr>
          <w:rFonts w:hint="eastAsia" w:ascii="仿宋" w:hAnsi="仿宋" w:eastAsia="仿宋" w:cs="仿宋"/>
          <w:b/>
          <w:color w:val="auto"/>
          <w:sz w:val="24"/>
        </w:rPr>
        <w:t>附：法定代表人（负责人）居民身份证复印件</w:t>
      </w:r>
    </w:p>
    <w:p>
      <w:pPr>
        <w:tabs>
          <w:tab w:val="left" w:pos="7290"/>
        </w:tabs>
        <w:spacing w:before="240" w:line="360" w:lineRule="auto"/>
        <w:rPr>
          <w:rFonts w:ascii="仿宋" w:hAnsi="仿宋" w:eastAsia="仿宋" w:cs="仿宋"/>
          <w:b/>
          <w:bCs/>
          <w:color w:val="auto"/>
          <w:sz w:val="24"/>
        </w:rPr>
      </w:pPr>
      <w:r>
        <w:rPr>
          <w:rFonts w:hint="eastAsia" w:ascii="仿宋" w:hAnsi="仿宋" w:eastAsia="仿宋" w:cs="仿宋"/>
          <w:b/>
          <w:bCs/>
          <w:color w:val="auto"/>
          <w:sz w:val="24"/>
        </w:rPr>
        <w:t>备注：</w:t>
      </w:r>
    </w:p>
    <w:p>
      <w:pPr>
        <w:tabs>
          <w:tab w:val="left" w:pos="7290"/>
        </w:tabs>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1、“法定代表人（负责人）”直接参加投标响应活动的仅需填写本身份证明，个人居民身份证携带备查。</w:t>
      </w:r>
    </w:p>
    <w:p>
      <w:pPr>
        <w:tabs>
          <w:tab w:val="left" w:pos="7290"/>
        </w:tabs>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2、法定代表人（负责人）印章与其签字效力等同。</w:t>
      </w:r>
    </w:p>
    <w:p>
      <w:pPr>
        <w:rPr>
          <w:rFonts w:ascii="仿宋" w:hAnsi="仿宋" w:eastAsia="仿宋" w:cs="仿宋"/>
          <w:color w:val="auto"/>
          <w:sz w:val="24"/>
        </w:rPr>
      </w:pPr>
      <w:r>
        <w:rPr>
          <w:rFonts w:hint="eastAsia" w:ascii="仿宋" w:hAnsi="仿宋" w:eastAsia="仿宋" w:cs="仿宋"/>
          <w:color w:val="auto"/>
          <w:sz w:val="24"/>
        </w:rPr>
        <w:br w:type="page"/>
      </w:r>
    </w:p>
    <w:p>
      <w:pPr>
        <w:pStyle w:val="3"/>
        <w:spacing w:line="240" w:lineRule="auto"/>
        <w:rPr>
          <w:rFonts w:ascii="仿宋" w:hAnsi="仿宋" w:eastAsia="仿宋" w:cs="仿宋"/>
          <w:color w:val="auto"/>
          <w:sz w:val="30"/>
          <w:szCs w:val="30"/>
        </w:rPr>
      </w:pPr>
      <w:r>
        <w:rPr>
          <w:rFonts w:hint="eastAsia" w:ascii="仿宋" w:hAnsi="仿宋" w:eastAsia="仿宋" w:cs="仿宋"/>
          <w:color w:val="auto"/>
          <w:sz w:val="30"/>
          <w:szCs w:val="30"/>
        </w:rPr>
        <w:t>十二、中小企业声明函（服务）</w:t>
      </w:r>
    </w:p>
    <w:p>
      <w:pPr>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本公司郑重声明，根据《政府采购促进中小企业发展管理办法》（财库﹝2020﹞46 号）的规定，本公司参加</w:t>
      </w:r>
      <w:r>
        <w:rPr>
          <w:rFonts w:hint="eastAsia" w:ascii="仿宋" w:hAnsi="仿宋" w:eastAsia="仿宋" w:cs="仿宋"/>
          <w:color w:val="auto"/>
          <w:sz w:val="24"/>
          <w:u w:val="single"/>
        </w:rPr>
        <w:t xml:space="preserve"> （单位名称） </w:t>
      </w:r>
      <w:r>
        <w:rPr>
          <w:rFonts w:hint="eastAsia" w:ascii="仿宋" w:hAnsi="仿宋" w:eastAsia="仿宋" w:cs="仿宋"/>
          <w:color w:val="auto"/>
          <w:sz w:val="24"/>
        </w:rPr>
        <w:t>的</w:t>
      </w:r>
      <w:r>
        <w:rPr>
          <w:rFonts w:hint="eastAsia" w:ascii="仿宋" w:hAnsi="仿宋" w:eastAsia="仿宋" w:cs="仿宋"/>
          <w:color w:val="auto"/>
          <w:sz w:val="24"/>
          <w:u w:val="single"/>
        </w:rPr>
        <w:t xml:space="preserve"> （项目名称）</w:t>
      </w:r>
      <w:r>
        <w:rPr>
          <w:rFonts w:hint="eastAsia" w:ascii="仿宋" w:hAnsi="仿宋" w:eastAsia="仿宋" w:cs="仿宋"/>
          <w:color w:val="auto"/>
          <w:sz w:val="24"/>
        </w:rPr>
        <w:t xml:space="preserve"> 采购活动，服务全部由符合政策要求的中小企业承接。相关企业的具体情况如下：</w:t>
      </w:r>
    </w:p>
    <w:p>
      <w:pPr>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u w:val="single"/>
        </w:rPr>
        <w:t>（标的名称）</w:t>
      </w:r>
      <w:r>
        <w:rPr>
          <w:rFonts w:hint="eastAsia" w:ascii="仿宋" w:hAnsi="仿宋" w:eastAsia="仿宋" w:cs="仿宋"/>
          <w:color w:val="auto"/>
          <w:sz w:val="24"/>
        </w:rPr>
        <w:t>，属于</w:t>
      </w:r>
      <w:r>
        <w:rPr>
          <w:rFonts w:hint="eastAsia" w:ascii="仿宋" w:hAnsi="仿宋" w:eastAsia="仿宋" w:cs="仿宋"/>
          <w:color w:val="auto"/>
          <w:sz w:val="24"/>
          <w:u w:val="single"/>
        </w:rPr>
        <w:t xml:space="preserve"> （招标文件中明确的所属行业） </w:t>
      </w:r>
      <w:r>
        <w:rPr>
          <w:rFonts w:hint="eastAsia" w:ascii="仿宋" w:hAnsi="仿宋" w:eastAsia="仿宋" w:cs="仿宋"/>
          <w:color w:val="auto"/>
          <w:sz w:val="24"/>
        </w:rPr>
        <w:t>；承接企业为</w:t>
      </w:r>
      <w:r>
        <w:rPr>
          <w:rFonts w:hint="eastAsia" w:ascii="仿宋" w:hAnsi="仿宋" w:eastAsia="仿宋" w:cs="仿宋"/>
          <w:color w:val="auto"/>
          <w:sz w:val="24"/>
          <w:u w:val="single"/>
        </w:rPr>
        <w:t xml:space="preserve"> （企业名称） </w:t>
      </w:r>
      <w:r>
        <w:rPr>
          <w:rFonts w:hint="eastAsia" w:ascii="仿宋" w:hAnsi="仿宋" w:eastAsia="仿宋" w:cs="仿宋"/>
          <w:color w:val="auto"/>
          <w:sz w:val="24"/>
        </w:rPr>
        <w:t>，从业人员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w:t>
      </w:r>
      <w:r>
        <w:rPr>
          <w:rStyle w:val="42"/>
          <w:rFonts w:hint="eastAsia" w:ascii="仿宋" w:hAnsi="仿宋" w:eastAsia="仿宋" w:cs="仿宋"/>
          <w:color w:val="auto"/>
          <w:sz w:val="24"/>
        </w:rPr>
        <w:footnoteReference w:id="0"/>
      </w:r>
      <w:r>
        <w:rPr>
          <w:rFonts w:hint="eastAsia" w:ascii="仿宋" w:hAnsi="仿宋" w:eastAsia="仿宋" w:cs="仿宋"/>
          <w:color w:val="auto"/>
          <w:sz w:val="24"/>
        </w:rPr>
        <w:t>，属于</w:t>
      </w:r>
      <w:r>
        <w:rPr>
          <w:rFonts w:hint="eastAsia" w:ascii="仿宋" w:hAnsi="仿宋" w:eastAsia="仿宋" w:cs="仿宋"/>
          <w:color w:val="auto"/>
          <w:sz w:val="24"/>
          <w:u w:val="single"/>
        </w:rPr>
        <w:t>（中型企业、小型企业、微型企业）</w:t>
      </w:r>
      <w:r>
        <w:rPr>
          <w:rFonts w:hint="eastAsia" w:ascii="仿宋" w:hAnsi="仿宋" w:eastAsia="仿宋" w:cs="仿宋"/>
          <w:color w:val="auto"/>
          <w:sz w:val="24"/>
        </w:rPr>
        <w:t>；</w:t>
      </w:r>
    </w:p>
    <w:p>
      <w:pPr>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（标的名称）</w:t>
      </w:r>
      <w:r>
        <w:rPr>
          <w:rFonts w:hint="eastAsia" w:ascii="仿宋" w:hAnsi="仿宋" w:eastAsia="仿宋" w:cs="仿宋"/>
          <w:color w:val="auto"/>
          <w:sz w:val="24"/>
        </w:rPr>
        <w:t>，属于</w:t>
      </w:r>
      <w:r>
        <w:rPr>
          <w:rFonts w:hint="eastAsia" w:ascii="仿宋" w:hAnsi="仿宋" w:eastAsia="仿宋" w:cs="仿宋"/>
          <w:color w:val="auto"/>
          <w:sz w:val="24"/>
          <w:u w:val="single"/>
        </w:rPr>
        <w:t xml:space="preserve"> （招标文件中明确的所属行业） </w:t>
      </w:r>
      <w:r>
        <w:rPr>
          <w:rFonts w:hint="eastAsia" w:ascii="仿宋" w:hAnsi="仿宋" w:eastAsia="仿宋" w:cs="仿宋"/>
          <w:color w:val="auto"/>
          <w:sz w:val="24"/>
        </w:rPr>
        <w:t>；承接企业为</w:t>
      </w:r>
      <w:r>
        <w:rPr>
          <w:rFonts w:hint="eastAsia" w:ascii="仿宋" w:hAnsi="仿宋" w:eastAsia="仿宋" w:cs="仿宋"/>
          <w:color w:val="auto"/>
          <w:sz w:val="24"/>
          <w:u w:val="single"/>
        </w:rPr>
        <w:t xml:space="preserve"> （企业名称） </w:t>
      </w:r>
      <w:r>
        <w:rPr>
          <w:rFonts w:hint="eastAsia" w:ascii="仿宋" w:hAnsi="仿宋" w:eastAsia="仿宋" w:cs="仿宋"/>
          <w:color w:val="auto"/>
          <w:sz w:val="24"/>
        </w:rPr>
        <w:t>，从业人员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rPr>
        <w:t>（中型企业、小型企业、微型企业）</w:t>
      </w:r>
      <w:r>
        <w:rPr>
          <w:rFonts w:hint="eastAsia" w:ascii="仿宋" w:hAnsi="仿宋" w:eastAsia="仿宋" w:cs="仿宋"/>
          <w:color w:val="auto"/>
          <w:sz w:val="24"/>
        </w:rPr>
        <w:t>；</w:t>
      </w:r>
    </w:p>
    <w:p>
      <w:pPr>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w:t>
      </w:r>
    </w:p>
    <w:p>
      <w:pPr>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本企业对上述声明内容的真实性负责。如有虚假，将依法承担相应责任。</w:t>
      </w:r>
    </w:p>
    <w:p>
      <w:pPr>
        <w:adjustRightInd w:val="0"/>
        <w:snapToGrid w:val="0"/>
        <w:spacing w:line="360" w:lineRule="auto"/>
        <w:ind w:firstLine="480" w:firstLineChars="200"/>
        <w:jc w:val="left"/>
        <w:rPr>
          <w:rFonts w:ascii="仿宋" w:hAnsi="仿宋" w:eastAsia="仿宋" w:cs="仿宋"/>
          <w:color w:val="auto"/>
          <w:sz w:val="24"/>
        </w:rPr>
      </w:pPr>
    </w:p>
    <w:p>
      <w:pPr>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 xml:space="preserve">    </w:t>
      </w:r>
    </w:p>
    <w:p>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企业名称（盖章）：</w:t>
      </w:r>
    </w:p>
    <w:p>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日　　　　　 期：</w:t>
      </w:r>
    </w:p>
    <w:p>
      <w:pPr>
        <w:adjustRightInd w:val="0"/>
        <w:snapToGrid w:val="0"/>
        <w:spacing w:line="360" w:lineRule="auto"/>
        <w:jc w:val="center"/>
        <w:rPr>
          <w:rFonts w:ascii="仿宋" w:hAnsi="仿宋" w:eastAsia="仿宋" w:cs="仿宋"/>
          <w:color w:val="auto"/>
          <w:sz w:val="24"/>
        </w:rPr>
      </w:pPr>
    </w:p>
    <w:p>
      <w:pPr>
        <w:pStyle w:val="11"/>
        <w:rPr>
          <w:rFonts w:ascii="仿宋" w:hAnsi="仿宋" w:eastAsia="仿宋" w:cs="仿宋"/>
          <w:color w:val="auto"/>
        </w:rPr>
      </w:pPr>
    </w:p>
    <w:sectPr>
      <w:footerReference r:id="rId10" w:type="first"/>
      <w:pgSz w:w="11907" w:h="16840"/>
      <w:pgMar w:top="1440" w:right="1800" w:bottom="1440" w:left="1800" w:header="851" w:footer="992" w:gutter="0"/>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幼圆">
    <w:altName w:val="宋体"/>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行楷简体">
    <w:altName w:val="微软雅黑"/>
    <w:panose1 w:val="00000000000000000000"/>
    <w:charset w:val="86"/>
    <w:family w:val="auto"/>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00" w:usb3="00000000" w:csb0="003E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38</w:t>
                    </w:r>
                    <w:r>
                      <w:fldChar w:fldCharType="end"/>
                    </w:r>
                  </w:p>
                </w:txbxContent>
              </v:textbox>
            </v:shape>
          </w:pict>
        </mc:Fallback>
      </mc:AlternateContent>
    </w:r>
  </w:p>
  <w:p>
    <w:pPr>
      <w:pStyle w:val="11"/>
      <w:spacing w:line="14" w:lineRule="auto"/>
      <w:rPr>
        <w:b/>
        <w:bCs/>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rPr>
        <w:rStyle w:val="38"/>
      </w:rPr>
      <w:instrText xml:space="preserve"> PAGE </w:instrText>
    </w:r>
    <w:r>
      <w:fldChar w:fldCharType="separate"/>
    </w:r>
    <w:r>
      <w:rPr>
        <w:rStyle w:val="38"/>
        <w:rFonts w:hint="eastAsia"/>
      </w:rPr>
      <w:t>２</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rPr>
        <w:rStyle w:val="38"/>
      </w:rPr>
      <w:instrText xml:space="preserve"> PAGE </w:instrText>
    </w:r>
    <w:r>
      <w:fldChar w:fldCharType="separate"/>
    </w:r>
    <w:r>
      <w:rPr>
        <w:rStyle w:val="38"/>
        <w:rFonts w:hint="eastAsia"/>
      </w:rPr>
      <w:t>６２</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pPr>
                          <w:r>
                            <w:fldChar w:fldCharType="begin"/>
                          </w:r>
                          <w:r>
                            <w:rPr>
                              <w:rStyle w:val="38"/>
                            </w:rPr>
                            <w:instrText xml:space="preserve"> PAGE </w:instrText>
                          </w:r>
                          <w:r>
                            <w:fldChar w:fldCharType="separate"/>
                          </w:r>
                          <w:r>
                            <w:rPr>
                              <w:rStyle w:val="38"/>
                              <w:rFonts w:hint="eastAsia"/>
                            </w:rPr>
                            <w:t>６２</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MY338c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WXR&#10;pw9QY9pDwMQ0vPVDzkXdsh/QmWkPKtr8RUIE46ju+aquHBIR+dF6tV5XGBIYmy+Iw27PQ4T0TnpL&#10;stHQiOMrqvLTB0hj6pySqzl/r40pIzTuLwdiZg+79ZitNOyHqfG9b8/Ip8fJN9TholNi3jsUNi/J&#10;bMTZ2M/GMUR96LC1ZekLwptjwiZKb7nCCDsVxpEVdtN65Z14fC9Zt19q+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FMY338cBAACaAwAADgAAAAAAAAABACAAAAAeAQAAZHJzL2Uyb0RvYy54&#10;bWxQSwUGAAAAAAYABgBZAQAAVwUAAAAA&#10;">
              <v:fill on="f" focussize="0,0"/>
              <v:stroke on="f"/>
              <v:imagedata o:title=""/>
              <o:lock v:ext="edit" aspectratio="f"/>
              <v:textbox inset="0mm,0mm,0mm,0mm" style="mso-fit-shape-to-text:t;">
                <w:txbxContent>
                  <w:p>
                    <w:pPr>
                      <w:pStyle w:val="22"/>
                      <w:jc w:val="center"/>
                    </w:pPr>
                    <w:r>
                      <w:fldChar w:fldCharType="begin"/>
                    </w:r>
                    <w:r>
                      <w:rPr>
                        <w:rStyle w:val="38"/>
                      </w:rPr>
                      <w:instrText xml:space="preserve"> PAGE </w:instrText>
                    </w:r>
                    <w:r>
                      <w:fldChar w:fldCharType="separate"/>
                    </w:r>
                    <w:r>
                      <w:rPr>
                        <w:rStyle w:val="38"/>
                        <w:rFonts w:hint="eastAsia"/>
                      </w:rPr>
                      <w:t>６２</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7"/>
      </w:pP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right" w:pos="8307"/>
        <w:tab w:val="clear" w:pos="8306"/>
      </w:tabs>
      <w:snapToGrid/>
      <w:ind w:left="6600" w:hanging="6600" w:hangingChars="4400"/>
      <w:jc w:val="left"/>
      <w:textAlignment w:val="baseline"/>
      <w:rPr>
        <w:color w:val="FF0000"/>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p>
    <w:pPr>
      <w:pStyle w:val="23"/>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right" w:pos="8307"/>
        <w:tab w:val="clear" w:pos="8306"/>
      </w:tabs>
      <w:snapToGrid/>
      <w:ind w:left="6600" w:hanging="6600" w:hangingChars="4400"/>
      <w:jc w:val="left"/>
      <w:textAlignment w:val="baseline"/>
      <w:rPr>
        <w:color w:val="FF0000"/>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63F8B"/>
    <w:multiLevelType w:val="singleLevel"/>
    <w:tmpl w:val="10863F8B"/>
    <w:lvl w:ilvl="0" w:tentative="0">
      <w:start w:val="5"/>
      <w:numFmt w:val="chineseCounting"/>
      <w:suff w:val="nothing"/>
      <w:lvlText w:val="%1、"/>
      <w:lvlJc w:val="left"/>
      <w:rPr>
        <w:rFonts w:hint="eastAsia"/>
      </w:rPr>
    </w:lvl>
  </w:abstractNum>
  <w:abstractNum w:abstractNumId="1">
    <w:nsid w:val="382E994C"/>
    <w:multiLevelType w:val="singleLevel"/>
    <w:tmpl w:val="382E994C"/>
    <w:lvl w:ilvl="0" w:tentative="0">
      <w:start w:val="1"/>
      <w:numFmt w:val="decimal"/>
      <w:lvlText w:val="%1)"/>
      <w:lvlJc w:val="left"/>
      <w:pPr>
        <w:ind w:left="425" w:hanging="425"/>
      </w:pPr>
      <w:rPr>
        <w:rFonts w:hint="default"/>
      </w:rPr>
    </w:lvl>
  </w:abstractNum>
  <w:abstractNum w:abstractNumId="2">
    <w:nsid w:val="59CBE249"/>
    <w:multiLevelType w:val="singleLevel"/>
    <w:tmpl w:val="59CBE249"/>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19"/>
  <w:drawingGridHorizontalSpacing w:val="105"/>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3YzhjNjc4NjA4NTE5MGM3NzU3ZDYyYzA1YWQyOTYifQ=="/>
    <w:docVar w:name="KSO_WPS_MARK_KEY" w:val="9c9fd373-d303-431d-ac34-87f057d1b9c2"/>
  </w:docVars>
  <w:rsids>
    <w:rsidRoot w:val="000D100F"/>
    <w:rsid w:val="0000675E"/>
    <w:rsid w:val="00010D0D"/>
    <w:rsid w:val="00013B31"/>
    <w:rsid w:val="000146AB"/>
    <w:rsid w:val="00023D32"/>
    <w:rsid w:val="000256F2"/>
    <w:rsid w:val="0002709E"/>
    <w:rsid w:val="0003006E"/>
    <w:rsid w:val="0003550F"/>
    <w:rsid w:val="00056DDF"/>
    <w:rsid w:val="00070D8E"/>
    <w:rsid w:val="00082543"/>
    <w:rsid w:val="000937F2"/>
    <w:rsid w:val="0009454C"/>
    <w:rsid w:val="000A01AE"/>
    <w:rsid w:val="000A6B93"/>
    <w:rsid w:val="000B45C1"/>
    <w:rsid w:val="000B7B9A"/>
    <w:rsid w:val="000C1186"/>
    <w:rsid w:val="000C2EF3"/>
    <w:rsid w:val="000C4A30"/>
    <w:rsid w:val="000C50BD"/>
    <w:rsid w:val="000D100F"/>
    <w:rsid w:val="000E21CA"/>
    <w:rsid w:val="000E4213"/>
    <w:rsid w:val="000F37DC"/>
    <w:rsid w:val="000F4F03"/>
    <w:rsid w:val="001016D7"/>
    <w:rsid w:val="001121DD"/>
    <w:rsid w:val="00120F3F"/>
    <w:rsid w:val="00130E64"/>
    <w:rsid w:val="00132363"/>
    <w:rsid w:val="00143CF6"/>
    <w:rsid w:val="00154011"/>
    <w:rsid w:val="00193C58"/>
    <w:rsid w:val="0019529C"/>
    <w:rsid w:val="001C4062"/>
    <w:rsid w:val="001C622C"/>
    <w:rsid w:val="001C74A5"/>
    <w:rsid w:val="001D1625"/>
    <w:rsid w:val="001D3469"/>
    <w:rsid w:val="001D4D7B"/>
    <w:rsid w:val="001E1FB9"/>
    <w:rsid w:val="001E4F8A"/>
    <w:rsid w:val="001F0DC1"/>
    <w:rsid w:val="001F1D2C"/>
    <w:rsid w:val="00222536"/>
    <w:rsid w:val="00225E64"/>
    <w:rsid w:val="002438EE"/>
    <w:rsid w:val="00261EFC"/>
    <w:rsid w:val="00265AC8"/>
    <w:rsid w:val="00274481"/>
    <w:rsid w:val="002752CD"/>
    <w:rsid w:val="002770C5"/>
    <w:rsid w:val="0027745F"/>
    <w:rsid w:val="002A0DE8"/>
    <w:rsid w:val="002A1E32"/>
    <w:rsid w:val="002A6646"/>
    <w:rsid w:val="002A68F9"/>
    <w:rsid w:val="002B74B2"/>
    <w:rsid w:val="002C3BA1"/>
    <w:rsid w:val="002D630D"/>
    <w:rsid w:val="002E336B"/>
    <w:rsid w:val="002F31C8"/>
    <w:rsid w:val="002F4125"/>
    <w:rsid w:val="002F47F3"/>
    <w:rsid w:val="002F4EC8"/>
    <w:rsid w:val="00333622"/>
    <w:rsid w:val="0034010D"/>
    <w:rsid w:val="00346345"/>
    <w:rsid w:val="0035083B"/>
    <w:rsid w:val="00351D2A"/>
    <w:rsid w:val="00354091"/>
    <w:rsid w:val="0035460E"/>
    <w:rsid w:val="00356472"/>
    <w:rsid w:val="00360067"/>
    <w:rsid w:val="003606A8"/>
    <w:rsid w:val="00362020"/>
    <w:rsid w:val="003627CB"/>
    <w:rsid w:val="00366067"/>
    <w:rsid w:val="00373009"/>
    <w:rsid w:val="00375DBF"/>
    <w:rsid w:val="00386AD4"/>
    <w:rsid w:val="00397213"/>
    <w:rsid w:val="003A0367"/>
    <w:rsid w:val="003A0927"/>
    <w:rsid w:val="003A2F17"/>
    <w:rsid w:val="003A5E2C"/>
    <w:rsid w:val="003A78AF"/>
    <w:rsid w:val="003C62AD"/>
    <w:rsid w:val="003E1357"/>
    <w:rsid w:val="003E5D77"/>
    <w:rsid w:val="003E67BE"/>
    <w:rsid w:val="003F15D6"/>
    <w:rsid w:val="00415CDE"/>
    <w:rsid w:val="00417097"/>
    <w:rsid w:val="00423727"/>
    <w:rsid w:val="00454C4F"/>
    <w:rsid w:val="004660B2"/>
    <w:rsid w:val="004905D7"/>
    <w:rsid w:val="004A3155"/>
    <w:rsid w:val="004A36D3"/>
    <w:rsid w:val="004A370E"/>
    <w:rsid w:val="004C660C"/>
    <w:rsid w:val="004C7D0F"/>
    <w:rsid w:val="004D0A97"/>
    <w:rsid w:val="004D48E2"/>
    <w:rsid w:val="004D69E2"/>
    <w:rsid w:val="004E2540"/>
    <w:rsid w:val="004E2B86"/>
    <w:rsid w:val="004E3893"/>
    <w:rsid w:val="00523EB0"/>
    <w:rsid w:val="00525591"/>
    <w:rsid w:val="00526AB8"/>
    <w:rsid w:val="005364B1"/>
    <w:rsid w:val="00543623"/>
    <w:rsid w:val="00560EA2"/>
    <w:rsid w:val="005664F7"/>
    <w:rsid w:val="00577C35"/>
    <w:rsid w:val="0058419C"/>
    <w:rsid w:val="00586661"/>
    <w:rsid w:val="005A014A"/>
    <w:rsid w:val="005A0C37"/>
    <w:rsid w:val="005A1FEB"/>
    <w:rsid w:val="005A2A3F"/>
    <w:rsid w:val="005C78D8"/>
    <w:rsid w:val="005D3D50"/>
    <w:rsid w:val="005D7AB4"/>
    <w:rsid w:val="006015F6"/>
    <w:rsid w:val="00635A95"/>
    <w:rsid w:val="0063666A"/>
    <w:rsid w:val="00637E29"/>
    <w:rsid w:val="006406FF"/>
    <w:rsid w:val="006745F4"/>
    <w:rsid w:val="00677EBD"/>
    <w:rsid w:val="0068687A"/>
    <w:rsid w:val="00693BC3"/>
    <w:rsid w:val="00696FF3"/>
    <w:rsid w:val="006A121C"/>
    <w:rsid w:val="006A22F4"/>
    <w:rsid w:val="006A2320"/>
    <w:rsid w:val="006A5E20"/>
    <w:rsid w:val="006B0AF5"/>
    <w:rsid w:val="006B2C39"/>
    <w:rsid w:val="006B712D"/>
    <w:rsid w:val="006C583C"/>
    <w:rsid w:val="006C6E60"/>
    <w:rsid w:val="006D2667"/>
    <w:rsid w:val="006D33C6"/>
    <w:rsid w:val="006E4598"/>
    <w:rsid w:val="006F7A06"/>
    <w:rsid w:val="007109A6"/>
    <w:rsid w:val="007208C1"/>
    <w:rsid w:val="00720921"/>
    <w:rsid w:val="00732B75"/>
    <w:rsid w:val="0073412D"/>
    <w:rsid w:val="00736CA5"/>
    <w:rsid w:val="00745C46"/>
    <w:rsid w:val="007804FF"/>
    <w:rsid w:val="00792A23"/>
    <w:rsid w:val="0079416C"/>
    <w:rsid w:val="00797B94"/>
    <w:rsid w:val="007A24E7"/>
    <w:rsid w:val="007A5616"/>
    <w:rsid w:val="007B099E"/>
    <w:rsid w:val="007C61C3"/>
    <w:rsid w:val="007C7A65"/>
    <w:rsid w:val="007E0895"/>
    <w:rsid w:val="007E0E34"/>
    <w:rsid w:val="00812DE5"/>
    <w:rsid w:val="008131E3"/>
    <w:rsid w:val="00824626"/>
    <w:rsid w:val="00832430"/>
    <w:rsid w:val="0084294D"/>
    <w:rsid w:val="0086621D"/>
    <w:rsid w:val="008758B3"/>
    <w:rsid w:val="00884D40"/>
    <w:rsid w:val="00892A1F"/>
    <w:rsid w:val="00894541"/>
    <w:rsid w:val="008A0BF7"/>
    <w:rsid w:val="008A2411"/>
    <w:rsid w:val="008B1940"/>
    <w:rsid w:val="008B1A3E"/>
    <w:rsid w:val="008B4BF3"/>
    <w:rsid w:val="008C5049"/>
    <w:rsid w:val="008D4374"/>
    <w:rsid w:val="008D5085"/>
    <w:rsid w:val="008E133F"/>
    <w:rsid w:val="008F0C7F"/>
    <w:rsid w:val="00905B5C"/>
    <w:rsid w:val="00915E39"/>
    <w:rsid w:val="009427B8"/>
    <w:rsid w:val="0095010A"/>
    <w:rsid w:val="00952051"/>
    <w:rsid w:val="0095633E"/>
    <w:rsid w:val="00967B0B"/>
    <w:rsid w:val="00967B0E"/>
    <w:rsid w:val="00976CE9"/>
    <w:rsid w:val="00980B1D"/>
    <w:rsid w:val="00981CF7"/>
    <w:rsid w:val="009846B7"/>
    <w:rsid w:val="0098639E"/>
    <w:rsid w:val="00996DED"/>
    <w:rsid w:val="009A43A9"/>
    <w:rsid w:val="009A56B6"/>
    <w:rsid w:val="009C7438"/>
    <w:rsid w:val="009D08C3"/>
    <w:rsid w:val="009D5012"/>
    <w:rsid w:val="009D78BB"/>
    <w:rsid w:val="009E1C5D"/>
    <w:rsid w:val="009E6A17"/>
    <w:rsid w:val="009F1049"/>
    <w:rsid w:val="009F514B"/>
    <w:rsid w:val="00A05987"/>
    <w:rsid w:val="00A171E1"/>
    <w:rsid w:val="00A245E5"/>
    <w:rsid w:val="00A31479"/>
    <w:rsid w:val="00A34853"/>
    <w:rsid w:val="00A45C2E"/>
    <w:rsid w:val="00A520D1"/>
    <w:rsid w:val="00A61DD7"/>
    <w:rsid w:val="00A62637"/>
    <w:rsid w:val="00A839EC"/>
    <w:rsid w:val="00A95105"/>
    <w:rsid w:val="00A9659A"/>
    <w:rsid w:val="00AA25AD"/>
    <w:rsid w:val="00AA5AEA"/>
    <w:rsid w:val="00AB1D6B"/>
    <w:rsid w:val="00AB244F"/>
    <w:rsid w:val="00AB3367"/>
    <w:rsid w:val="00AB44A8"/>
    <w:rsid w:val="00AD2A2E"/>
    <w:rsid w:val="00AD61AB"/>
    <w:rsid w:val="00AD7662"/>
    <w:rsid w:val="00AD7ED7"/>
    <w:rsid w:val="00AF5028"/>
    <w:rsid w:val="00B120D1"/>
    <w:rsid w:val="00B13D88"/>
    <w:rsid w:val="00B16C69"/>
    <w:rsid w:val="00B32474"/>
    <w:rsid w:val="00B53D9E"/>
    <w:rsid w:val="00B77E09"/>
    <w:rsid w:val="00B8027D"/>
    <w:rsid w:val="00B86CDA"/>
    <w:rsid w:val="00B87BF5"/>
    <w:rsid w:val="00B93BBD"/>
    <w:rsid w:val="00B96F3C"/>
    <w:rsid w:val="00BB42E0"/>
    <w:rsid w:val="00BD1390"/>
    <w:rsid w:val="00BE3361"/>
    <w:rsid w:val="00BE57B9"/>
    <w:rsid w:val="00BF5985"/>
    <w:rsid w:val="00C066E3"/>
    <w:rsid w:val="00C17FDB"/>
    <w:rsid w:val="00C511ED"/>
    <w:rsid w:val="00C53C61"/>
    <w:rsid w:val="00C828F0"/>
    <w:rsid w:val="00CA3583"/>
    <w:rsid w:val="00CB1615"/>
    <w:rsid w:val="00CC6844"/>
    <w:rsid w:val="00CD4C13"/>
    <w:rsid w:val="00CE7C72"/>
    <w:rsid w:val="00CF5500"/>
    <w:rsid w:val="00CF66B9"/>
    <w:rsid w:val="00D25780"/>
    <w:rsid w:val="00D35B6E"/>
    <w:rsid w:val="00D43098"/>
    <w:rsid w:val="00D43621"/>
    <w:rsid w:val="00D50E73"/>
    <w:rsid w:val="00D620A6"/>
    <w:rsid w:val="00D638EE"/>
    <w:rsid w:val="00D762DD"/>
    <w:rsid w:val="00D80D79"/>
    <w:rsid w:val="00D87DE9"/>
    <w:rsid w:val="00D91A71"/>
    <w:rsid w:val="00D9441C"/>
    <w:rsid w:val="00DB0328"/>
    <w:rsid w:val="00DC72AC"/>
    <w:rsid w:val="00DE0E8C"/>
    <w:rsid w:val="00DE1459"/>
    <w:rsid w:val="00DE4A68"/>
    <w:rsid w:val="00DF42F9"/>
    <w:rsid w:val="00E1022C"/>
    <w:rsid w:val="00E1295A"/>
    <w:rsid w:val="00E211F5"/>
    <w:rsid w:val="00E2610B"/>
    <w:rsid w:val="00E35A5E"/>
    <w:rsid w:val="00E43BC7"/>
    <w:rsid w:val="00E5530E"/>
    <w:rsid w:val="00E563E0"/>
    <w:rsid w:val="00E74F35"/>
    <w:rsid w:val="00E80D11"/>
    <w:rsid w:val="00E814E7"/>
    <w:rsid w:val="00E833C6"/>
    <w:rsid w:val="00E87C42"/>
    <w:rsid w:val="00E92352"/>
    <w:rsid w:val="00EA66B5"/>
    <w:rsid w:val="00EB74C5"/>
    <w:rsid w:val="00ED3221"/>
    <w:rsid w:val="00ED7198"/>
    <w:rsid w:val="00EE3F2F"/>
    <w:rsid w:val="00EF112B"/>
    <w:rsid w:val="00EF604D"/>
    <w:rsid w:val="00F06BE2"/>
    <w:rsid w:val="00F21800"/>
    <w:rsid w:val="00F311FF"/>
    <w:rsid w:val="00F501E0"/>
    <w:rsid w:val="00F60958"/>
    <w:rsid w:val="00F61FF3"/>
    <w:rsid w:val="00F8193C"/>
    <w:rsid w:val="00F900A5"/>
    <w:rsid w:val="00FA761F"/>
    <w:rsid w:val="00FB1A62"/>
    <w:rsid w:val="00FB4A18"/>
    <w:rsid w:val="00FB4BF9"/>
    <w:rsid w:val="00FD250D"/>
    <w:rsid w:val="00FE5146"/>
    <w:rsid w:val="011817DB"/>
    <w:rsid w:val="0159126E"/>
    <w:rsid w:val="019D115B"/>
    <w:rsid w:val="019E1711"/>
    <w:rsid w:val="01B6221C"/>
    <w:rsid w:val="01DA571A"/>
    <w:rsid w:val="01DB707B"/>
    <w:rsid w:val="01F063AF"/>
    <w:rsid w:val="026135EB"/>
    <w:rsid w:val="02626672"/>
    <w:rsid w:val="028B36A9"/>
    <w:rsid w:val="02A44DE3"/>
    <w:rsid w:val="02EB1981"/>
    <w:rsid w:val="031533E6"/>
    <w:rsid w:val="03243133"/>
    <w:rsid w:val="036068E4"/>
    <w:rsid w:val="03B76841"/>
    <w:rsid w:val="03C874C4"/>
    <w:rsid w:val="03D8291E"/>
    <w:rsid w:val="03DB06E3"/>
    <w:rsid w:val="03DB4E5F"/>
    <w:rsid w:val="04140108"/>
    <w:rsid w:val="04671EF4"/>
    <w:rsid w:val="04893CFE"/>
    <w:rsid w:val="0496732F"/>
    <w:rsid w:val="04C2515D"/>
    <w:rsid w:val="04C33B11"/>
    <w:rsid w:val="05047743"/>
    <w:rsid w:val="052109FA"/>
    <w:rsid w:val="053A3164"/>
    <w:rsid w:val="053D4AA7"/>
    <w:rsid w:val="05405A2B"/>
    <w:rsid w:val="05451E0C"/>
    <w:rsid w:val="056E3078"/>
    <w:rsid w:val="05762054"/>
    <w:rsid w:val="059609B9"/>
    <w:rsid w:val="0599372D"/>
    <w:rsid w:val="05A012C8"/>
    <w:rsid w:val="06180E80"/>
    <w:rsid w:val="06205F6B"/>
    <w:rsid w:val="0696086E"/>
    <w:rsid w:val="069A1143"/>
    <w:rsid w:val="06D403FB"/>
    <w:rsid w:val="06FE6C86"/>
    <w:rsid w:val="07123728"/>
    <w:rsid w:val="073267E9"/>
    <w:rsid w:val="07710552"/>
    <w:rsid w:val="07C644D1"/>
    <w:rsid w:val="07CC63DA"/>
    <w:rsid w:val="07F723F2"/>
    <w:rsid w:val="0808754A"/>
    <w:rsid w:val="083403A8"/>
    <w:rsid w:val="0842189C"/>
    <w:rsid w:val="08452820"/>
    <w:rsid w:val="08457A46"/>
    <w:rsid w:val="085E740E"/>
    <w:rsid w:val="089A4646"/>
    <w:rsid w:val="08A92545"/>
    <w:rsid w:val="08F8136C"/>
    <w:rsid w:val="08F822C4"/>
    <w:rsid w:val="08F97D45"/>
    <w:rsid w:val="091F7CEC"/>
    <w:rsid w:val="0922463B"/>
    <w:rsid w:val="096D1D5A"/>
    <w:rsid w:val="096E5786"/>
    <w:rsid w:val="09742F12"/>
    <w:rsid w:val="09793B17"/>
    <w:rsid w:val="09DD70BF"/>
    <w:rsid w:val="0A246928"/>
    <w:rsid w:val="0A2D3298"/>
    <w:rsid w:val="0A2E773B"/>
    <w:rsid w:val="0A391A26"/>
    <w:rsid w:val="0A824401"/>
    <w:rsid w:val="0AE41505"/>
    <w:rsid w:val="0AE465EC"/>
    <w:rsid w:val="0AF40E05"/>
    <w:rsid w:val="0B067E26"/>
    <w:rsid w:val="0BB02EC0"/>
    <w:rsid w:val="0BB30785"/>
    <w:rsid w:val="0BB50EC3"/>
    <w:rsid w:val="0BC74660"/>
    <w:rsid w:val="0C0679C8"/>
    <w:rsid w:val="0C160C6F"/>
    <w:rsid w:val="0C2E54BE"/>
    <w:rsid w:val="0C31628E"/>
    <w:rsid w:val="0C3E33A6"/>
    <w:rsid w:val="0C692CAD"/>
    <w:rsid w:val="0C717465"/>
    <w:rsid w:val="0CF956B3"/>
    <w:rsid w:val="0CFF716D"/>
    <w:rsid w:val="0D344BB7"/>
    <w:rsid w:val="0D390742"/>
    <w:rsid w:val="0D441024"/>
    <w:rsid w:val="0D750EA4"/>
    <w:rsid w:val="0DB2123B"/>
    <w:rsid w:val="0DC70935"/>
    <w:rsid w:val="0E0E7D9E"/>
    <w:rsid w:val="0E110D22"/>
    <w:rsid w:val="0E274329"/>
    <w:rsid w:val="0E3521DC"/>
    <w:rsid w:val="0E770F85"/>
    <w:rsid w:val="0EED1247"/>
    <w:rsid w:val="0EF6009B"/>
    <w:rsid w:val="0EFD3FF1"/>
    <w:rsid w:val="0EFE76A6"/>
    <w:rsid w:val="0F685A89"/>
    <w:rsid w:val="0F9D6F56"/>
    <w:rsid w:val="0FD07624"/>
    <w:rsid w:val="0FD9610F"/>
    <w:rsid w:val="100F65C3"/>
    <w:rsid w:val="101051ED"/>
    <w:rsid w:val="10285E8F"/>
    <w:rsid w:val="10362C26"/>
    <w:rsid w:val="103706A7"/>
    <w:rsid w:val="104F3EFB"/>
    <w:rsid w:val="105060D5"/>
    <w:rsid w:val="106327F0"/>
    <w:rsid w:val="10857989"/>
    <w:rsid w:val="108F72C5"/>
    <w:rsid w:val="109F6DD2"/>
    <w:rsid w:val="10A32CCA"/>
    <w:rsid w:val="10AA6D6A"/>
    <w:rsid w:val="10ED552F"/>
    <w:rsid w:val="114151CB"/>
    <w:rsid w:val="119500A0"/>
    <w:rsid w:val="119F4776"/>
    <w:rsid w:val="11CD3FC1"/>
    <w:rsid w:val="11ED22F7"/>
    <w:rsid w:val="122D5AF2"/>
    <w:rsid w:val="12344C6A"/>
    <w:rsid w:val="12477A64"/>
    <w:rsid w:val="124D3615"/>
    <w:rsid w:val="125F6FC1"/>
    <w:rsid w:val="12641F1D"/>
    <w:rsid w:val="126D5C1B"/>
    <w:rsid w:val="129E2F84"/>
    <w:rsid w:val="12AF7E37"/>
    <w:rsid w:val="12B546C2"/>
    <w:rsid w:val="12C01748"/>
    <w:rsid w:val="12F52B2A"/>
    <w:rsid w:val="12FB4A33"/>
    <w:rsid w:val="13001679"/>
    <w:rsid w:val="13216E71"/>
    <w:rsid w:val="13403EA3"/>
    <w:rsid w:val="13692AE8"/>
    <w:rsid w:val="136C3A6D"/>
    <w:rsid w:val="136E6F70"/>
    <w:rsid w:val="13782083"/>
    <w:rsid w:val="1389559C"/>
    <w:rsid w:val="138D7D05"/>
    <w:rsid w:val="13C34D3D"/>
    <w:rsid w:val="13E860EB"/>
    <w:rsid w:val="14186104"/>
    <w:rsid w:val="142C4DA5"/>
    <w:rsid w:val="14492156"/>
    <w:rsid w:val="144B7941"/>
    <w:rsid w:val="145B58F4"/>
    <w:rsid w:val="14BB0C9C"/>
    <w:rsid w:val="1533131C"/>
    <w:rsid w:val="15340257"/>
    <w:rsid w:val="15406E6B"/>
    <w:rsid w:val="156C1118"/>
    <w:rsid w:val="156D08D0"/>
    <w:rsid w:val="15822E8C"/>
    <w:rsid w:val="158D6F6A"/>
    <w:rsid w:val="159C3D02"/>
    <w:rsid w:val="159F14ED"/>
    <w:rsid w:val="15B4042B"/>
    <w:rsid w:val="15C26F8A"/>
    <w:rsid w:val="15DF7C6E"/>
    <w:rsid w:val="15EA654A"/>
    <w:rsid w:val="16184950"/>
    <w:rsid w:val="161A7E53"/>
    <w:rsid w:val="161F0A58"/>
    <w:rsid w:val="163254FA"/>
    <w:rsid w:val="16332F7C"/>
    <w:rsid w:val="163E130D"/>
    <w:rsid w:val="1640104E"/>
    <w:rsid w:val="164107F7"/>
    <w:rsid w:val="164A2BA1"/>
    <w:rsid w:val="165538EA"/>
    <w:rsid w:val="166A5654"/>
    <w:rsid w:val="1695644C"/>
    <w:rsid w:val="169B16A6"/>
    <w:rsid w:val="16D70206"/>
    <w:rsid w:val="16F60ABB"/>
    <w:rsid w:val="17076C96"/>
    <w:rsid w:val="170A0BE8"/>
    <w:rsid w:val="1718024A"/>
    <w:rsid w:val="17224E02"/>
    <w:rsid w:val="17286E95"/>
    <w:rsid w:val="173043C7"/>
    <w:rsid w:val="17360A54"/>
    <w:rsid w:val="17795811"/>
    <w:rsid w:val="17854713"/>
    <w:rsid w:val="17876D25"/>
    <w:rsid w:val="17CA4317"/>
    <w:rsid w:val="17D04F21"/>
    <w:rsid w:val="17DC7AB4"/>
    <w:rsid w:val="17FB49D5"/>
    <w:rsid w:val="18322A41"/>
    <w:rsid w:val="184544E1"/>
    <w:rsid w:val="185309F7"/>
    <w:rsid w:val="18893450"/>
    <w:rsid w:val="189015C1"/>
    <w:rsid w:val="18F45F0D"/>
    <w:rsid w:val="18FC598D"/>
    <w:rsid w:val="18FE560D"/>
    <w:rsid w:val="19035318"/>
    <w:rsid w:val="19111958"/>
    <w:rsid w:val="19162CB4"/>
    <w:rsid w:val="191E4E1F"/>
    <w:rsid w:val="195C6CAB"/>
    <w:rsid w:val="196640D0"/>
    <w:rsid w:val="19871CEE"/>
    <w:rsid w:val="19882298"/>
    <w:rsid w:val="199944A6"/>
    <w:rsid w:val="19B7283D"/>
    <w:rsid w:val="19EC5F8B"/>
    <w:rsid w:val="1A27727A"/>
    <w:rsid w:val="1A4C65B4"/>
    <w:rsid w:val="1A626F8D"/>
    <w:rsid w:val="1A7B1681"/>
    <w:rsid w:val="1A8D159C"/>
    <w:rsid w:val="1A97792D"/>
    <w:rsid w:val="1AAF4FD3"/>
    <w:rsid w:val="1AB6495E"/>
    <w:rsid w:val="1B0B3181"/>
    <w:rsid w:val="1B157B5C"/>
    <w:rsid w:val="1B3B4134"/>
    <w:rsid w:val="1B3F2E2B"/>
    <w:rsid w:val="1B487750"/>
    <w:rsid w:val="1B7E21A9"/>
    <w:rsid w:val="1B884CB7"/>
    <w:rsid w:val="1BBE5191"/>
    <w:rsid w:val="1BF9747E"/>
    <w:rsid w:val="1BFF4EA6"/>
    <w:rsid w:val="1C5B7321"/>
    <w:rsid w:val="1C6C40F3"/>
    <w:rsid w:val="1C7804D2"/>
    <w:rsid w:val="1CC84B7F"/>
    <w:rsid w:val="1CF66C4E"/>
    <w:rsid w:val="1D0850CA"/>
    <w:rsid w:val="1D0B2C34"/>
    <w:rsid w:val="1D0F70BC"/>
    <w:rsid w:val="1D271DC8"/>
    <w:rsid w:val="1D28626C"/>
    <w:rsid w:val="1D2B3667"/>
    <w:rsid w:val="1D477216"/>
    <w:rsid w:val="1DB60B4F"/>
    <w:rsid w:val="1DBC69B5"/>
    <w:rsid w:val="1DC85AA6"/>
    <w:rsid w:val="1DD86B05"/>
    <w:rsid w:val="1DE008F5"/>
    <w:rsid w:val="1DF51B31"/>
    <w:rsid w:val="1E0778B6"/>
    <w:rsid w:val="1E1E50D2"/>
    <w:rsid w:val="1E2C580B"/>
    <w:rsid w:val="1E33210A"/>
    <w:rsid w:val="1E412B1F"/>
    <w:rsid w:val="1E4F7A48"/>
    <w:rsid w:val="1E6C27B1"/>
    <w:rsid w:val="1E7352C5"/>
    <w:rsid w:val="1E782E0B"/>
    <w:rsid w:val="1E82371B"/>
    <w:rsid w:val="1EA60457"/>
    <w:rsid w:val="1ECD0317"/>
    <w:rsid w:val="1EFC33E4"/>
    <w:rsid w:val="1F086948"/>
    <w:rsid w:val="1F1E3EDF"/>
    <w:rsid w:val="1F35085E"/>
    <w:rsid w:val="1F3C7DAD"/>
    <w:rsid w:val="1F3E2138"/>
    <w:rsid w:val="1F807DBA"/>
    <w:rsid w:val="1F9C20A6"/>
    <w:rsid w:val="20085EE1"/>
    <w:rsid w:val="202A4558"/>
    <w:rsid w:val="20307F5E"/>
    <w:rsid w:val="203A14A3"/>
    <w:rsid w:val="20474300"/>
    <w:rsid w:val="208539D6"/>
    <w:rsid w:val="209A228A"/>
    <w:rsid w:val="20C8258A"/>
    <w:rsid w:val="20C95670"/>
    <w:rsid w:val="20E9518E"/>
    <w:rsid w:val="20F644A4"/>
    <w:rsid w:val="20F84124"/>
    <w:rsid w:val="21022930"/>
    <w:rsid w:val="210671CA"/>
    <w:rsid w:val="21283700"/>
    <w:rsid w:val="215A2F61"/>
    <w:rsid w:val="216435EB"/>
    <w:rsid w:val="217A702E"/>
    <w:rsid w:val="21812609"/>
    <w:rsid w:val="21812D83"/>
    <w:rsid w:val="21A37E40"/>
    <w:rsid w:val="21A864C6"/>
    <w:rsid w:val="21C85928"/>
    <w:rsid w:val="21E01EA3"/>
    <w:rsid w:val="22405740"/>
    <w:rsid w:val="22A00653"/>
    <w:rsid w:val="22B3482A"/>
    <w:rsid w:val="22DD303F"/>
    <w:rsid w:val="22DE7735"/>
    <w:rsid w:val="22E50809"/>
    <w:rsid w:val="22E60259"/>
    <w:rsid w:val="22F619EB"/>
    <w:rsid w:val="232674F2"/>
    <w:rsid w:val="2331574F"/>
    <w:rsid w:val="234C2589"/>
    <w:rsid w:val="2369138D"/>
    <w:rsid w:val="23694EE9"/>
    <w:rsid w:val="239911F4"/>
    <w:rsid w:val="23A46FD4"/>
    <w:rsid w:val="23A87290"/>
    <w:rsid w:val="23DC5598"/>
    <w:rsid w:val="23EC64DE"/>
    <w:rsid w:val="24047B0B"/>
    <w:rsid w:val="242236D7"/>
    <w:rsid w:val="242520DD"/>
    <w:rsid w:val="242554C8"/>
    <w:rsid w:val="24323971"/>
    <w:rsid w:val="2435301D"/>
    <w:rsid w:val="24482291"/>
    <w:rsid w:val="24531927"/>
    <w:rsid w:val="24A501A2"/>
    <w:rsid w:val="24AA643A"/>
    <w:rsid w:val="24C42EE0"/>
    <w:rsid w:val="24CC56D1"/>
    <w:rsid w:val="24CD4574"/>
    <w:rsid w:val="24F124BD"/>
    <w:rsid w:val="252B06EB"/>
    <w:rsid w:val="25626261"/>
    <w:rsid w:val="25BC57A4"/>
    <w:rsid w:val="25E95241"/>
    <w:rsid w:val="26112D46"/>
    <w:rsid w:val="261D5205"/>
    <w:rsid w:val="2624631F"/>
    <w:rsid w:val="263C4B36"/>
    <w:rsid w:val="26444656"/>
    <w:rsid w:val="269B0903"/>
    <w:rsid w:val="26AD1590"/>
    <w:rsid w:val="26B028B3"/>
    <w:rsid w:val="26B96187"/>
    <w:rsid w:val="26C848AF"/>
    <w:rsid w:val="26CD7392"/>
    <w:rsid w:val="26D06FD5"/>
    <w:rsid w:val="26E70E95"/>
    <w:rsid w:val="26F6540B"/>
    <w:rsid w:val="27003DB6"/>
    <w:rsid w:val="27015D0E"/>
    <w:rsid w:val="27054714"/>
    <w:rsid w:val="27062195"/>
    <w:rsid w:val="271433BD"/>
    <w:rsid w:val="27351CB2"/>
    <w:rsid w:val="27383224"/>
    <w:rsid w:val="273C0367"/>
    <w:rsid w:val="275F60A7"/>
    <w:rsid w:val="27D22B63"/>
    <w:rsid w:val="2833607F"/>
    <w:rsid w:val="286A598B"/>
    <w:rsid w:val="287A1946"/>
    <w:rsid w:val="287B557A"/>
    <w:rsid w:val="288D5494"/>
    <w:rsid w:val="28A22E75"/>
    <w:rsid w:val="28C978B9"/>
    <w:rsid w:val="28F84B43"/>
    <w:rsid w:val="29097BDD"/>
    <w:rsid w:val="290A735F"/>
    <w:rsid w:val="29491A44"/>
    <w:rsid w:val="294F3201"/>
    <w:rsid w:val="295765BE"/>
    <w:rsid w:val="29BC0105"/>
    <w:rsid w:val="29BF1089"/>
    <w:rsid w:val="29D4636C"/>
    <w:rsid w:val="29E412C9"/>
    <w:rsid w:val="29EE0B44"/>
    <w:rsid w:val="2A243728"/>
    <w:rsid w:val="2A2A5863"/>
    <w:rsid w:val="2A3D51DB"/>
    <w:rsid w:val="2A426E65"/>
    <w:rsid w:val="2A5128F3"/>
    <w:rsid w:val="2AD56653"/>
    <w:rsid w:val="2AE31A25"/>
    <w:rsid w:val="2AEB407A"/>
    <w:rsid w:val="2B190FEA"/>
    <w:rsid w:val="2B3D4D7E"/>
    <w:rsid w:val="2B405D02"/>
    <w:rsid w:val="2B524D23"/>
    <w:rsid w:val="2B6E0DD0"/>
    <w:rsid w:val="2B7672EB"/>
    <w:rsid w:val="2B7A2D23"/>
    <w:rsid w:val="2B8E1990"/>
    <w:rsid w:val="2BAA42F0"/>
    <w:rsid w:val="2BF335D3"/>
    <w:rsid w:val="2C020A11"/>
    <w:rsid w:val="2C2262F5"/>
    <w:rsid w:val="2C873A9B"/>
    <w:rsid w:val="2C8C39F6"/>
    <w:rsid w:val="2C9D5C03"/>
    <w:rsid w:val="2CA86A82"/>
    <w:rsid w:val="2CD77367"/>
    <w:rsid w:val="2CF4444F"/>
    <w:rsid w:val="2D1759B5"/>
    <w:rsid w:val="2D39592C"/>
    <w:rsid w:val="2D5531EF"/>
    <w:rsid w:val="2D5D27F9"/>
    <w:rsid w:val="2D6A1F89"/>
    <w:rsid w:val="2D9E60D7"/>
    <w:rsid w:val="2DA04568"/>
    <w:rsid w:val="2DA94E77"/>
    <w:rsid w:val="2DBB2B93"/>
    <w:rsid w:val="2DBD6096"/>
    <w:rsid w:val="2DFB7200"/>
    <w:rsid w:val="2E020D89"/>
    <w:rsid w:val="2E0E6DB8"/>
    <w:rsid w:val="2E1B7734"/>
    <w:rsid w:val="2E304A9F"/>
    <w:rsid w:val="2E5D019E"/>
    <w:rsid w:val="2E5D6C2C"/>
    <w:rsid w:val="2E65302C"/>
    <w:rsid w:val="2E6A1D9A"/>
    <w:rsid w:val="2E8822E7"/>
    <w:rsid w:val="2EBA6F40"/>
    <w:rsid w:val="2ECC63CC"/>
    <w:rsid w:val="2EEA5E84"/>
    <w:rsid w:val="2F0106CB"/>
    <w:rsid w:val="2F2B1AF0"/>
    <w:rsid w:val="2F480FA5"/>
    <w:rsid w:val="2F4C288D"/>
    <w:rsid w:val="2F527179"/>
    <w:rsid w:val="2F5E1E9F"/>
    <w:rsid w:val="2F6D7B0F"/>
    <w:rsid w:val="2F971030"/>
    <w:rsid w:val="2F9A7BA6"/>
    <w:rsid w:val="2FA07530"/>
    <w:rsid w:val="2FAB58C1"/>
    <w:rsid w:val="2FB4573E"/>
    <w:rsid w:val="2FC31DED"/>
    <w:rsid w:val="2FCC1679"/>
    <w:rsid w:val="2FF65D56"/>
    <w:rsid w:val="2FFB6945"/>
    <w:rsid w:val="302443A6"/>
    <w:rsid w:val="302F3016"/>
    <w:rsid w:val="30853026"/>
    <w:rsid w:val="30871DAD"/>
    <w:rsid w:val="30901D07"/>
    <w:rsid w:val="30B97FFD"/>
    <w:rsid w:val="31201F54"/>
    <w:rsid w:val="315F792B"/>
    <w:rsid w:val="317F1D7B"/>
    <w:rsid w:val="31857392"/>
    <w:rsid w:val="318D3859"/>
    <w:rsid w:val="31D97252"/>
    <w:rsid w:val="31EC70F5"/>
    <w:rsid w:val="321243EF"/>
    <w:rsid w:val="32247B73"/>
    <w:rsid w:val="323C0179"/>
    <w:rsid w:val="32523D98"/>
    <w:rsid w:val="32621B9E"/>
    <w:rsid w:val="326957C5"/>
    <w:rsid w:val="32783B2D"/>
    <w:rsid w:val="329E2ED1"/>
    <w:rsid w:val="329F6B99"/>
    <w:rsid w:val="32B1153C"/>
    <w:rsid w:val="32BF6351"/>
    <w:rsid w:val="32FD27B6"/>
    <w:rsid w:val="33234BF4"/>
    <w:rsid w:val="336D6F4D"/>
    <w:rsid w:val="33704CF3"/>
    <w:rsid w:val="338418CB"/>
    <w:rsid w:val="33896EE1"/>
    <w:rsid w:val="33C842D3"/>
    <w:rsid w:val="33F14D18"/>
    <w:rsid w:val="33F31A49"/>
    <w:rsid w:val="33F860BA"/>
    <w:rsid w:val="341E587B"/>
    <w:rsid w:val="34395EB0"/>
    <w:rsid w:val="343F0843"/>
    <w:rsid w:val="3443189C"/>
    <w:rsid w:val="347552D7"/>
    <w:rsid w:val="34AA026F"/>
    <w:rsid w:val="34C12DE6"/>
    <w:rsid w:val="34CC32F2"/>
    <w:rsid w:val="350F0F1C"/>
    <w:rsid w:val="35125D61"/>
    <w:rsid w:val="353B5C3E"/>
    <w:rsid w:val="358866EC"/>
    <w:rsid w:val="35B70430"/>
    <w:rsid w:val="35B932C0"/>
    <w:rsid w:val="35FC4E3C"/>
    <w:rsid w:val="35FF6626"/>
    <w:rsid w:val="361B6516"/>
    <w:rsid w:val="363B0967"/>
    <w:rsid w:val="365537B1"/>
    <w:rsid w:val="367E1904"/>
    <w:rsid w:val="368D2854"/>
    <w:rsid w:val="36951E69"/>
    <w:rsid w:val="36A35A25"/>
    <w:rsid w:val="36AF4410"/>
    <w:rsid w:val="36BE795E"/>
    <w:rsid w:val="37196928"/>
    <w:rsid w:val="371F5B92"/>
    <w:rsid w:val="37321E9B"/>
    <w:rsid w:val="375866C2"/>
    <w:rsid w:val="377FA89E"/>
    <w:rsid w:val="379A3E49"/>
    <w:rsid w:val="37B522DC"/>
    <w:rsid w:val="37C130EE"/>
    <w:rsid w:val="37C70E19"/>
    <w:rsid w:val="37D261A1"/>
    <w:rsid w:val="37DA7D0B"/>
    <w:rsid w:val="37F94635"/>
    <w:rsid w:val="387934B7"/>
    <w:rsid w:val="38853A46"/>
    <w:rsid w:val="389D10ED"/>
    <w:rsid w:val="38A00F55"/>
    <w:rsid w:val="38A9212C"/>
    <w:rsid w:val="38AE22ED"/>
    <w:rsid w:val="38B05A93"/>
    <w:rsid w:val="38EE1CC0"/>
    <w:rsid w:val="39111B0C"/>
    <w:rsid w:val="393E44F9"/>
    <w:rsid w:val="395D152B"/>
    <w:rsid w:val="396F1445"/>
    <w:rsid w:val="397D03C7"/>
    <w:rsid w:val="398A32F4"/>
    <w:rsid w:val="399B0698"/>
    <w:rsid w:val="39B20C35"/>
    <w:rsid w:val="39C01D55"/>
    <w:rsid w:val="39D52E80"/>
    <w:rsid w:val="39D65971"/>
    <w:rsid w:val="39F072E9"/>
    <w:rsid w:val="39F60425"/>
    <w:rsid w:val="3A003676"/>
    <w:rsid w:val="3A100FCE"/>
    <w:rsid w:val="3A143C8E"/>
    <w:rsid w:val="3A1D02E4"/>
    <w:rsid w:val="3A2128CA"/>
    <w:rsid w:val="3A412B7F"/>
    <w:rsid w:val="3A9E14C4"/>
    <w:rsid w:val="3AB7046B"/>
    <w:rsid w:val="3ABA478C"/>
    <w:rsid w:val="3ABB6D02"/>
    <w:rsid w:val="3AD53316"/>
    <w:rsid w:val="3ADE61A4"/>
    <w:rsid w:val="3AFE0C57"/>
    <w:rsid w:val="3B2069CE"/>
    <w:rsid w:val="3B3602C7"/>
    <w:rsid w:val="3B4C0F20"/>
    <w:rsid w:val="3B5D0C70"/>
    <w:rsid w:val="3B744119"/>
    <w:rsid w:val="3B972BD8"/>
    <w:rsid w:val="3BAF51F7"/>
    <w:rsid w:val="3BC92488"/>
    <w:rsid w:val="3BDE5D47"/>
    <w:rsid w:val="3BF633ED"/>
    <w:rsid w:val="3C233444"/>
    <w:rsid w:val="3C320116"/>
    <w:rsid w:val="3C5938F5"/>
    <w:rsid w:val="3CE81A7C"/>
    <w:rsid w:val="3D137A68"/>
    <w:rsid w:val="3D194B5C"/>
    <w:rsid w:val="3D3659E4"/>
    <w:rsid w:val="3D390512"/>
    <w:rsid w:val="3D6443AF"/>
    <w:rsid w:val="3D6A159A"/>
    <w:rsid w:val="3D7529B0"/>
    <w:rsid w:val="3DA556B2"/>
    <w:rsid w:val="3DA63134"/>
    <w:rsid w:val="3DD32C78"/>
    <w:rsid w:val="3DF338D5"/>
    <w:rsid w:val="3DFC72FC"/>
    <w:rsid w:val="3E774506"/>
    <w:rsid w:val="3E8C68AA"/>
    <w:rsid w:val="3E9B547B"/>
    <w:rsid w:val="3EAD4BE9"/>
    <w:rsid w:val="3EC34805"/>
    <w:rsid w:val="3EDC31B1"/>
    <w:rsid w:val="3EDF4135"/>
    <w:rsid w:val="3EE405BD"/>
    <w:rsid w:val="3EE94A45"/>
    <w:rsid w:val="3F104904"/>
    <w:rsid w:val="3F485EA2"/>
    <w:rsid w:val="3F8B5C4E"/>
    <w:rsid w:val="3FA011AF"/>
    <w:rsid w:val="3FAC4F4C"/>
    <w:rsid w:val="3FB35A12"/>
    <w:rsid w:val="40130CAF"/>
    <w:rsid w:val="402266F3"/>
    <w:rsid w:val="40273D0A"/>
    <w:rsid w:val="403149DC"/>
    <w:rsid w:val="40385F17"/>
    <w:rsid w:val="404811F7"/>
    <w:rsid w:val="40726ACA"/>
    <w:rsid w:val="40882E6C"/>
    <w:rsid w:val="40FE08AC"/>
    <w:rsid w:val="411973E7"/>
    <w:rsid w:val="413F299B"/>
    <w:rsid w:val="415625C0"/>
    <w:rsid w:val="41A5138A"/>
    <w:rsid w:val="41E41EB2"/>
    <w:rsid w:val="42336996"/>
    <w:rsid w:val="42536FE0"/>
    <w:rsid w:val="425964DC"/>
    <w:rsid w:val="428C42F8"/>
    <w:rsid w:val="42C817D4"/>
    <w:rsid w:val="43310BCC"/>
    <w:rsid w:val="436E2C30"/>
    <w:rsid w:val="43862855"/>
    <w:rsid w:val="438837D9"/>
    <w:rsid w:val="439D4A0F"/>
    <w:rsid w:val="439E377F"/>
    <w:rsid w:val="43AB2A94"/>
    <w:rsid w:val="43BE05B0"/>
    <w:rsid w:val="44521036"/>
    <w:rsid w:val="44535354"/>
    <w:rsid w:val="44685D26"/>
    <w:rsid w:val="4484172B"/>
    <w:rsid w:val="448A2416"/>
    <w:rsid w:val="44A616A1"/>
    <w:rsid w:val="44BE1658"/>
    <w:rsid w:val="44C22253"/>
    <w:rsid w:val="44C37CDE"/>
    <w:rsid w:val="44DE410B"/>
    <w:rsid w:val="44DF5D96"/>
    <w:rsid w:val="44F94935"/>
    <w:rsid w:val="453F2EAB"/>
    <w:rsid w:val="45575091"/>
    <w:rsid w:val="457572C5"/>
    <w:rsid w:val="457D2990"/>
    <w:rsid w:val="459C3244"/>
    <w:rsid w:val="459D42EE"/>
    <w:rsid w:val="45A2514E"/>
    <w:rsid w:val="45A87057"/>
    <w:rsid w:val="45C07CFA"/>
    <w:rsid w:val="45C2437E"/>
    <w:rsid w:val="460728F4"/>
    <w:rsid w:val="461C7016"/>
    <w:rsid w:val="46386C71"/>
    <w:rsid w:val="464F7389"/>
    <w:rsid w:val="46626485"/>
    <w:rsid w:val="46DC3BD1"/>
    <w:rsid w:val="46E41E4B"/>
    <w:rsid w:val="472649FE"/>
    <w:rsid w:val="473B19EC"/>
    <w:rsid w:val="475C6047"/>
    <w:rsid w:val="4764152B"/>
    <w:rsid w:val="478D0171"/>
    <w:rsid w:val="478F0B12"/>
    <w:rsid w:val="47A7459E"/>
    <w:rsid w:val="47D63DE9"/>
    <w:rsid w:val="47F17FBF"/>
    <w:rsid w:val="47FF71AB"/>
    <w:rsid w:val="48345216"/>
    <w:rsid w:val="487D3F41"/>
    <w:rsid w:val="489B2A5F"/>
    <w:rsid w:val="48B7695A"/>
    <w:rsid w:val="48C66F74"/>
    <w:rsid w:val="48C67E6A"/>
    <w:rsid w:val="48D6398B"/>
    <w:rsid w:val="48EA5EAF"/>
    <w:rsid w:val="491036BD"/>
    <w:rsid w:val="491F7C74"/>
    <w:rsid w:val="492C6E2E"/>
    <w:rsid w:val="492D5E3A"/>
    <w:rsid w:val="49375FAE"/>
    <w:rsid w:val="493914B1"/>
    <w:rsid w:val="49400803"/>
    <w:rsid w:val="4989333F"/>
    <w:rsid w:val="49902920"/>
    <w:rsid w:val="499408C6"/>
    <w:rsid w:val="49965FC8"/>
    <w:rsid w:val="499E6DEB"/>
    <w:rsid w:val="49A20D3C"/>
    <w:rsid w:val="49E22BC4"/>
    <w:rsid w:val="49ED38CE"/>
    <w:rsid w:val="49FC11EF"/>
    <w:rsid w:val="49FD1664"/>
    <w:rsid w:val="4A062BE2"/>
    <w:rsid w:val="4A23728B"/>
    <w:rsid w:val="4A277ADC"/>
    <w:rsid w:val="4A454E67"/>
    <w:rsid w:val="4AC47B91"/>
    <w:rsid w:val="4AC95435"/>
    <w:rsid w:val="4AEB0E78"/>
    <w:rsid w:val="4AF76E89"/>
    <w:rsid w:val="4B173DA8"/>
    <w:rsid w:val="4B272E10"/>
    <w:rsid w:val="4B3A447A"/>
    <w:rsid w:val="4B431E58"/>
    <w:rsid w:val="4B524331"/>
    <w:rsid w:val="4BC11DD5"/>
    <w:rsid w:val="4C0E7CD6"/>
    <w:rsid w:val="4C43492C"/>
    <w:rsid w:val="4C4754C5"/>
    <w:rsid w:val="4C496836"/>
    <w:rsid w:val="4C544BC7"/>
    <w:rsid w:val="4C86669B"/>
    <w:rsid w:val="4C907DBF"/>
    <w:rsid w:val="4C966935"/>
    <w:rsid w:val="4CA903C9"/>
    <w:rsid w:val="4CB01B26"/>
    <w:rsid w:val="4CBA3672"/>
    <w:rsid w:val="4CC17779"/>
    <w:rsid w:val="4CF23BFD"/>
    <w:rsid w:val="4D2407EC"/>
    <w:rsid w:val="4D7B6407"/>
    <w:rsid w:val="4D9F1366"/>
    <w:rsid w:val="4D9F4BE9"/>
    <w:rsid w:val="4DB20386"/>
    <w:rsid w:val="4DBC2E94"/>
    <w:rsid w:val="4DC23A7F"/>
    <w:rsid w:val="4DD11C41"/>
    <w:rsid w:val="4DE74FDD"/>
    <w:rsid w:val="4DE83567"/>
    <w:rsid w:val="4DE91521"/>
    <w:rsid w:val="4DED3D9B"/>
    <w:rsid w:val="4DF2336E"/>
    <w:rsid w:val="4E333DB0"/>
    <w:rsid w:val="4E47087A"/>
    <w:rsid w:val="4E4A3A7D"/>
    <w:rsid w:val="4E982CDA"/>
    <w:rsid w:val="4ECF52DB"/>
    <w:rsid w:val="4ED43961"/>
    <w:rsid w:val="4F036A2F"/>
    <w:rsid w:val="4F1B5C1A"/>
    <w:rsid w:val="4F46425A"/>
    <w:rsid w:val="4F8B1BBF"/>
    <w:rsid w:val="4FA07BB2"/>
    <w:rsid w:val="4FB42FCF"/>
    <w:rsid w:val="50055358"/>
    <w:rsid w:val="50236B06"/>
    <w:rsid w:val="504F0E3F"/>
    <w:rsid w:val="506917F9"/>
    <w:rsid w:val="507070ED"/>
    <w:rsid w:val="507765E7"/>
    <w:rsid w:val="50BD24B6"/>
    <w:rsid w:val="50C4668F"/>
    <w:rsid w:val="50C51101"/>
    <w:rsid w:val="50C61B92"/>
    <w:rsid w:val="50E214C3"/>
    <w:rsid w:val="50F93666"/>
    <w:rsid w:val="51167BAE"/>
    <w:rsid w:val="51346287"/>
    <w:rsid w:val="51C345A0"/>
    <w:rsid w:val="51D236DC"/>
    <w:rsid w:val="51EA4D45"/>
    <w:rsid w:val="52232583"/>
    <w:rsid w:val="52412A09"/>
    <w:rsid w:val="52505165"/>
    <w:rsid w:val="52686D40"/>
    <w:rsid w:val="526925C3"/>
    <w:rsid w:val="52784DDC"/>
    <w:rsid w:val="52790FE5"/>
    <w:rsid w:val="527F4767"/>
    <w:rsid w:val="52927709"/>
    <w:rsid w:val="529A2D92"/>
    <w:rsid w:val="52CD6993"/>
    <w:rsid w:val="52ED493F"/>
    <w:rsid w:val="52F61A46"/>
    <w:rsid w:val="530D52D0"/>
    <w:rsid w:val="53376114"/>
    <w:rsid w:val="53383B95"/>
    <w:rsid w:val="53394338"/>
    <w:rsid w:val="534A1E9B"/>
    <w:rsid w:val="53522541"/>
    <w:rsid w:val="539F1C04"/>
    <w:rsid w:val="53AB7123"/>
    <w:rsid w:val="53B2385F"/>
    <w:rsid w:val="53D02297"/>
    <w:rsid w:val="53DD49B3"/>
    <w:rsid w:val="53DF072C"/>
    <w:rsid w:val="53FE5EDD"/>
    <w:rsid w:val="54082F69"/>
    <w:rsid w:val="54705828"/>
    <w:rsid w:val="547748A2"/>
    <w:rsid w:val="54CA432C"/>
    <w:rsid w:val="54D23DEC"/>
    <w:rsid w:val="54EC6A5F"/>
    <w:rsid w:val="54FF54E7"/>
    <w:rsid w:val="551A792E"/>
    <w:rsid w:val="55317553"/>
    <w:rsid w:val="554D6508"/>
    <w:rsid w:val="55760C1C"/>
    <w:rsid w:val="55AC6DE8"/>
    <w:rsid w:val="55B961B3"/>
    <w:rsid w:val="55B9695A"/>
    <w:rsid w:val="55EA33B8"/>
    <w:rsid w:val="55FC2D4A"/>
    <w:rsid w:val="55FD211F"/>
    <w:rsid w:val="560B273A"/>
    <w:rsid w:val="561848D7"/>
    <w:rsid w:val="56273AC2"/>
    <w:rsid w:val="565518B4"/>
    <w:rsid w:val="565C123F"/>
    <w:rsid w:val="56956E1A"/>
    <w:rsid w:val="56D227CA"/>
    <w:rsid w:val="56DF6C95"/>
    <w:rsid w:val="56FB1D20"/>
    <w:rsid w:val="5701343E"/>
    <w:rsid w:val="57147D76"/>
    <w:rsid w:val="57203535"/>
    <w:rsid w:val="574305EE"/>
    <w:rsid w:val="57503CCA"/>
    <w:rsid w:val="575B456D"/>
    <w:rsid w:val="576647A2"/>
    <w:rsid w:val="57746F62"/>
    <w:rsid w:val="577632EE"/>
    <w:rsid w:val="578515EA"/>
    <w:rsid w:val="579334BA"/>
    <w:rsid w:val="57B8033F"/>
    <w:rsid w:val="57CE3F7F"/>
    <w:rsid w:val="57CF7E98"/>
    <w:rsid w:val="57DA16B0"/>
    <w:rsid w:val="57DC4BB3"/>
    <w:rsid w:val="581072EE"/>
    <w:rsid w:val="58840844"/>
    <w:rsid w:val="589C2D8E"/>
    <w:rsid w:val="589E4C71"/>
    <w:rsid w:val="58BF28DA"/>
    <w:rsid w:val="58E44963"/>
    <w:rsid w:val="58EA3732"/>
    <w:rsid w:val="58F05189"/>
    <w:rsid w:val="59341527"/>
    <w:rsid w:val="594F4A95"/>
    <w:rsid w:val="59A0359A"/>
    <w:rsid w:val="59D40607"/>
    <w:rsid w:val="59E902DF"/>
    <w:rsid w:val="59EC3BA2"/>
    <w:rsid w:val="59FD5EB2"/>
    <w:rsid w:val="5A214188"/>
    <w:rsid w:val="5A2F4103"/>
    <w:rsid w:val="5A3A7F15"/>
    <w:rsid w:val="5A53303E"/>
    <w:rsid w:val="5A554343"/>
    <w:rsid w:val="5A6D1ACA"/>
    <w:rsid w:val="5AAB75B9"/>
    <w:rsid w:val="5ACD2D08"/>
    <w:rsid w:val="5AF2343A"/>
    <w:rsid w:val="5B432946"/>
    <w:rsid w:val="5BB167FD"/>
    <w:rsid w:val="5BD0382F"/>
    <w:rsid w:val="5BFA4673"/>
    <w:rsid w:val="5C001B87"/>
    <w:rsid w:val="5C037501"/>
    <w:rsid w:val="5C547E27"/>
    <w:rsid w:val="5C675762"/>
    <w:rsid w:val="5C745C84"/>
    <w:rsid w:val="5C8578C5"/>
    <w:rsid w:val="5CA34E8C"/>
    <w:rsid w:val="5CD40F46"/>
    <w:rsid w:val="5CF753B5"/>
    <w:rsid w:val="5CFE649F"/>
    <w:rsid w:val="5D0638AC"/>
    <w:rsid w:val="5D675E0D"/>
    <w:rsid w:val="5D812854"/>
    <w:rsid w:val="5D9A411F"/>
    <w:rsid w:val="5DAA0B36"/>
    <w:rsid w:val="5DAD753D"/>
    <w:rsid w:val="5DC0212F"/>
    <w:rsid w:val="5DD14279"/>
    <w:rsid w:val="5DDE3802"/>
    <w:rsid w:val="5E041D4D"/>
    <w:rsid w:val="5E0D40E7"/>
    <w:rsid w:val="5E115063"/>
    <w:rsid w:val="5E1A741F"/>
    <w:rsid w:val="5E203FF8"/>
    <w:rsid w:val="5E261785"/>
    <w:rsid w:val="5E7E4392"/>
    <w:rsid w:val="5E85179E"/>
    <w:rsid w:val="5E9667E9"/>
    <w:rsid w:val="5EAB6706"/>
    <w:rsid w:val="5EB33424"/>
    <w:rsid w:val="5EBF1ECE"/>
    <w:rsid w:val="5EE1711C"/>
    <w:rsid w:val="5EEB5236"/>
    <w:rsid w:val="5F1A3317"/>
    <w:rsid w:val="5F2A35B1"/>
    <w:rsid w:val="5F3F29C6"/>
    <w:rsid w:val="5F8D7DD2"/>
    <w:rsid w:val="5FA10F8B"/>
    <w:rsid w:val="5FA479F8"/>
    <w:rsid w:val="5FAA6092"/>
    <w:rsid w:val="5FAB1E0A"/>
    <w:rsid w:val="6011472C"/>
    <w:rsid w:val="602042AC"/>
    <w:rsid w:val="60230229"/>
    <w:rsid w:val="603132BA"/>
    <w:rsid w:val="60385CED"/>
    <w:rsid w:val="606345B3"/>
    <w:rsid w:val="608102DF"/>
    <w:rsid w:val="608C5797"/>
    <w:rsid w:val="60946046"/>
    <w:rsid w:val="60B56BCC"/>
    <w:rsid w:val="60BF1449"/>
    <w:rsid w:val="60CB525C"/>
    <w:rsid w:val="60E91EF5"/>
    <w:rsid w:val="611063C8"/>
    <w:rsid w:val="61187559"/>
    <w:rsid w:val="6125367E"/>
    <w:rsid w:val="613C4296"/>
    <w:rsid w:val="61587D6F"/>
    <w:rsid w:val="616708DE"/>
    <w:rsid w:val="61D1258B"/>
    <w:rsid w:val="61E6342A"/>
    <w:rsid w:val="61F1723C"/>
    <w:rsid w:val="61F66F47"/>
    <w:rsid w:val="620C10EB"/>
    <w:rsid w:val="622A34BA"/>
    <w:rsid w:val="62AB3F70"/>
    <w:rsid w:val="62BE1BEB"/>
    <w:rsid w:val="62FD2FC4"/>
    <w:rsid w:val="63043D0B"/>
    <w:rsid w:val="63067C83"/>
    <w:rsid w:val="630E6937"/>
    <w:rsid w:val="634023E1"/>
    <w:rsid w:val="63415C65"/>
    <w:rsid w:val="63584057"/>
    <w:rsid w:val="63732C3E"/>
    <w:rsid w:val="63AE34BC"/>
    <w:rsid w:val="63F4318A"/>
    <w:rsid w:val="63FD189B"/>
    <w:rsid w:val="640B0BB1"/>
    <w:rsid w:val="642B52C7"/>
    <w:rsid w:val="64551097"/>
    <w:rsid w:val="645C7B76"/>
    <w:rsid w:val="646B1B68"/>
    <w:rsid w:val="64746F5B"/>
    <w:rsid w:val="647911E5"/>
    <w:rsid w:val="64C073DB"/>
    <w:rsid w:val="64EE40DC"/>
    <w:rsid w:val="65076D15"/>
    <w:rsid w:val="650A6555"/>
    <w:rsid w:val="65202952"/>
    <w:rsid w:val="652A37D1"/>
    <w:rsid w:val="65580853"/>
    <w:rsid w:val="655A2308"/>
    <w:rsid w:val="65750EF0"/>
    <w:rsid w:val="65927FCD"/>
    <w:rsid w:val="65B243E4"/>
    <w:rsid w:val="65C0401D"/>
    <w:rsid w:val="65EF7ACC"/>
    <w:rsid w:val="66171B8A"/>
    <w:rsid w:val="661E562E"/>
    <w:rsid w:val="662E75B1"/>
    <w:rsid w:val="664F1002"/>
    <w:rsid w:val="66500DEB"/>
    <w:rsid w:val="668002B5"/>
    <w:rsid w:val="66952ECC"/>
    <w:rsid w:val="66AE6C06"/>
    <w:rsid w:val="66D460EA"/>
    <w:rsid w:val="67340937"/>
    <w:rsid w:val="673C3EEB"/>
    <w:rsid w:val="675C3547"/>
    <w:rsid w:val="67837EE3"/>
    <w:rsid w:val="678B52EF"/>
    <w:rsid w:val="67C02239"/>
    <w:rsid w:val="67E86271"/>
    <w:rsid w:val="68012CBD"/>
    <w:rsid w:val="683C773F"/>
    <w:rsid w:val="684969A7"/>
    <w:rsid w:val="688A3C29"/>
    <w:rsid w:val="68B305D5"/>
    <w:rsid w:val="68B67B12"/>
    <w:rsid w:val="68C74BE7"/>
    <w:rsid w:val="699E3A55"/>
    <w:rsid w:val="69B30239"/>
    <w:rsid w:val="69BB2CC4"/>
    <w:rsid w:val="6A3A1355"/>
    <w:rsid w:val="6A4C7071"/>
    <w:rsid w:val="6A624A98"/>
    <w:rsid w:val="6A641533"/>
    <w:rsid w:val="6A7172B1"/>
    <w:rsid w:val="6A775937"/>
    <w:rsid w:val="6A7800E0"/>
    <w:rsid w:val="6A9661EC"/>
    <w:rsid w:val="6AA67D9D"/>
    <w:rsid w:val="6ABD3EAD"/>
    <w:rsid w:val="6ADA7BDA"/>
    <w:rsid w:val="6AE23558"/>
    <w:rsid w:val="6B0D3978"/>
    <w:rsid w:val="6B19231D"/>
    <w:rsid w:val="6B223851"/>
    <w:rsid w:val="6B402D82"/>
    <w:rsid w:val="6B8A70FC"/>
    <w:rsid w:val="6B9B5A9A"/>
    <w:rsid w:val="6BB3168F"/>
    <w:rsid w:val="6BBD0EFB"/>
    <w:rsid w:val="6BE91BC9"/>
    <w:rsid w:val="6C027425"/>
    <w:rsid w:val="6C246A25"/>
    <w:rsid w:val="6C352415"/>
    <w:rsid w:val="6C547446"/>
    <w:rsid w:val="6C5E5320"/>
    <w:rsid w:val="6CAB3FF3"/>
    <w:rsid w:val="6CBC13F4"/>
    <w:rsid w:val="6CC25711"/>
    <w:rsid w:val="6CED0494"/>
    <w:rsid w:val="6CEF77DA"/>
    <w:rsid w:val="6CFD43DC"/>
    <w:rsid w:val="6D1442B3"/>
    <w:rsid w:val="6D462696"/>
    <w:rsid w:val="6D79502A"/>
    <w:rsid w:val="6DAC7479"/>
    <w:rsid w:val="6DCA3DA3"/>
    <w:rsid w:val="6DF758F9"/>
    <w:rsid w:val="6E08030A"/>
    <w:rsid w:val="6E1C12B7"/>
    <w:rsid w:val="6E21630F"/>
    <w:rsid w:val="6E2434B3"/>
    <w:rsid w:val="6E312157"/>
    <w:rsid w:val="6E3631E6"/>
    <w:rsid w:val="6E4A7901"/>
    <w:rsid w:val="6E6F683C"/>
    <w:rsid w:val="6E8F611A"/>
    <w:rsid w:val="6E992F04"/>
    <w:rsid w:val="6EA6297F"/>
    <w:rsid w:val="6EE848E0"/>
    <w:rsid w:val="6EED7D49"/>
    <w:rsid w:val="6F1737D2"/>
    <w:rsid w:val="6F42253D"/>
    <w:rsid w:val="6FBB359B"/>
    <w:rsid w:val="6FC14D32"/>
    <w:rsid w:val="701013CC"/>
    <w:rsid w:val="70514307"/>
    <w:rsid w:val="70D1169A"/>
    <w:rsid w:val="70DD6868"/>
    <w:rsid w:val="70EB650A"/>
    <w:rsid w:val="710F390D"/>
    <w:rsid w:val="712D2390"/>
    <w:rsid w:val="71603DF8"/>
    <w:rsid w:val="71812F67"/>
    <w:rsid w:val="719E7794"/>
    <w:rsid w:val="71D76A8E"/>
    <w:rsid w:val="71F1067C"/>
    <w:rsid w:val="720A37A4"/>
    <w:rsid w:val="720F7FD6"/>
    <w:rsid w:val="723123B6"/>
    <w:rsid w:val="7252521E"/>
    <w:rsid w:val="72795A94"/>
    <w:rsid w:val="72815E6B"/>
    <w:rsid w:val="729A0E95"/>
    <w:rsid w:val="729C14C0"/>
    <w:rsid w:val="72B616BF"/>
    <w:rsid w:val="73025D8D"/>
    <w:rsid w:val="730E33D2"/>
    <w:rsid w:val="73463ECB"/>
    <w:rsid w:val="734F7E05"/>
    <w:rsid w:val="736F2172"/>
    <w:rsid w:val="73965389"/>
    <w:rsid w:val="73D928D8"/>
    <w:rsid w:val="73E0372B"/>
    <w:rsid w:val="73E111AC"/>
    <w:rsid w:val="74221C16"/>
    <w:rsid w:val="743261FE"/>
    <w:rsid w:val="746E4293"/>
    <w:rsid w:val="74996DBE"/>
    <w:rsid w:val="74B84955"/>
    <w:rsid w:val="74BF61BC"/>
    <w:rsid w:val="74EA052F"/>
    <w:rsid w:val="74EC2851"/>
    <w:rsid w:val="74EF524D"/>
    <w:rsid w:val="751E0BB4"/>
    <w:rsid w:val="755D611A"/>
    <w:rsid w:val="75815055"/>
    <w:rsid w:val="758F43AB"/>
    <w:rsid w:val="759B3A01"/>
    <w:rsid w:val="75B3067F"/>
    <w:rsid w:val="75E26373"/>
    <w:rsid w:val="75EB4A85"/>
    <w:rsid w:val="75FE2420"/>
    <w:rsid w:val="75FE5CA3"/>
    <w:rsid w:val="7635037C"/>
    <w:rsid w:val="76A209B0"/>
    <w:rsid w:val="76ED0D9F"/>
    <w:rsid w:val="77050A54"/>
    <w:rsid w:val="770853A8"/>
    <w:rsid w:val="772A1B8E"/>
    <w:rsid w:val="773A7C2A"/>
    <w:rsid w:val="775D10E3"/>
    <w:rsid w:val="777D4BB8"/>
    <w:rsid w:val="77AF7BFF"/>
    <w:rsid w:val="77C36889"/>
    <w:rsid w:val="77C67389"/>
    <w:rsid w:val="77D558AA"/>
    <w:rsid w:val="77D942B0"/>
    <w:rsid w:val="77E66C06"/>
    <w:rsid w:val="77ED4572"/>
    <w:rsid w:val="77EE514F"/>
    <w:rsid w:val="77F34E5A"/>
    <w:rsid w:val="782A58E2"/>
    <w:rsid w:val="78521B33"/>
    <w:rsid w:val="785E6C17"/>
    <w:rsid w:val="787E131E"/>
    <w:rsid w:val="78B62999"/>
    <w:rsid w:val="78D44148"/>
    <w:rsid w:val="78EE0575"/>
    <w:rsid w:val="791A2B54"/>
    <w:rsid w:val="79492020"/>
    <w:rsid w:val="794977C8"/>
    <w:rsid w:val="797C6EDF"/>
    <w:rsid w:val="79A90D10"/>
    <w:rsid w:val="79B934C1"/>
    <w:rsid w:val="79D10B67"/>
    <w:rsid w:val="7A1A5A90"/>
    <w:rsid w:val="7A245705"/>
    <w:rsid w:val="7A320A96"/>
    <w:rsid w:val="7A3852EC"/>
    <w:rsid w:val="7A397292"/>
    <w:rsid w:val="7A665944"/>
    <w:rsid w:val="7A8C4B1E"/>
    <w:rsid w:val="7A944FB0"/>
    <w:rsid w:val="7AAF3336"/>
    <w:rsid w:val="7AC03765"/>
    <w:rsid w:val="7AD54B92"/>
    <w:rsid w:val="7AE52C2E"/>
    <w:rsid w:val="7B166C80"/>
    <w:rsid w:val="7B354F51"/>
    <w:rsid w:val="7B38059E"/>
    <w:rsid w:val="7B551FE8"/>
    <w:rsid w:val="7B716095"/>
    <w:rsid w:val="7B7B69A5"/>
    <w:rsid w:val="7BC21317"/>
    <w:rsid w:val="7C134B67"/>
    <w:rsid w:val="7C176405"/>
    <w:rsid w:val="7C3847D9"/>
    <w:rsid w:val="7C4371FA"/>
    <w:rsid w:val="7C4518F1"/>
    <w:rsid w:val="7C5D6F97"/>
    <w:rsid w:val="7C6E1430"/>
    <w:rsid w:val="7C7A0AC6"/>
    <w:rsid w:val="7C972A72"/>
    <w:rsid w:val="7CA30959"/>
    <w:rsid w:val="7CB43C54"/>
    <w:rsid w:val="7CEA207E"/>
    <w:rsid w:val="7D172ED8"/>
    <w:rsid w:val="7D242E3D"/>
    <w:rsid w:val="7D574C31"/>
    <w:rsid w:val="7D866690"/>
    <w:rsid w:val="7D8D2272"/>
    <w:rsid w:val="7DA01431"/>
    <w:rsid w:val="7DBA5C19"/>
    <w:rsid w:val="7DBA6ED4"/>
    <w:rsid w:val="7DD825F2"/>
    <w:rsid w:val="7DE76295"/>
    <w:rsid w:val="7E05024D"/>
    <w:rsid w:val="7E0D0EDC"/>
    <w:rsid w:val="7E3C2153"/>
    <w:rsid w:val="7E494870"/>
    <w:rsid w:val="7E520F33"/>
    <w:rsid w:val="7E553215"/>
    <w:rsid w:val="7E5A0FDB"/>
    <w:rsid w:val="7E89095E"/>
    <w:rsid w:val="7EA50156"/>
    <w:rsid w:val="7EA96743"/>
    <w:rsid w:val="7F061836"/>
    <w:rsid w:val="7F092BDE"/>
    <w:rsid w:val="7F0D6881"/>
    <w:rsid w:val="7F17671C"/>
    <w:rsid w:val="7F21318C"/>
    <w:rsid w:val="7F2870AA"/>
    <w:rsid w:val="7F4B6365"/>
    <w:rsid w:val="7FA272DD"/>
    <w:rsid w:val="7FA91E7C"/>
    <w:rsid w:val="7FCD5D2B"/>
    <w:rsid w:val="7FCF3F85"/>
    <w:rsid w:val="7FD64829"/>
    <w:rsid w:val="7FFD6189"/>
    <w:rsid w:val="CEFFA163"/>
    <w:rsid w:val="DFF69C4A"/>
    <w:rsid w:val="E67280FC"/>
    <w:rsid w:val="F8F7A0D7"/>
    <w:rsid w:val="FEFA9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120" w:after="120"/>
      <w:jc w:val="left"/>
      <w:outlineLvl w:val="0"/>
    </w:pPr>
    <w:rPr>
      <w:rFonts w:ascii="楷体_GB2312" w:hAnsi="楷体_GB2312"/>
      <w:sz w:val="28"/>
    </w:rPr>
  </w:style>
  <w:style w:type="paragraph" w:styleId="3">
    <w:name w:val="heading 2"/>
    <w:basedOn w:val="1"/>
    <w:next w:val="1"/>
    <w:link w:val="44"/>
    <w:qFormat/>
    <w:uiPriority w:val="9"/>
    <w:pPr>
      <w:keepNext/>
      <w:keepLines/>
      <w:spacing w:before="260" w:after="260" w:line="416" w:lineRule="auto"/>
      <w:jc w:val="center"/>
      <w:outlineLvl w:val="1"/>
    </w:pPr>
    <w:rPr>
      <w:rFonts w:ascii="幼圆" w:hAnsi="Arial" w:eastAsia="楷体_GB2312"/>
      <w:b/>
      <w:kern w:val="0"/>
      <w:sz w:val="44"/>
      <w:szCs w:val="20"/>
    </w:rPr>
  </w:style>
  <w:style w:type="paragraph" w:styleId="4">
    <w:name w:val="heading 3"/>
    <w:basedOn w:val="1"/>
    <w:next w:val="1"/>
    <w:link w:val="45"/>
    <w:qFormat/>
    <w:uiPriority w:val="9"/>
    <w:pPr>
      <w:keepNext/>
      <w:keepLines/>
      <w:spacing w:before="260" w:after="260" w:line="416" w:lineRule="auto"/>
      <w:outlineLvl w:val="2"/>
    </w:pPr>
    <w:rPr>
      <w:b/>
      <w:kern w:val="0"/>
      <w:sz w:val="32"/>
      <w:szCs w:val="20"/>
    </w:rPr>
  </w:style>
  <w:style w:type="paragraph" w:styleId="5">
    <w:name w:val="heading 4"/>
    <w:basedOn w:val="1"/>
    <w:next w:val="1"/>
    <w:qFormat/>
    <w:uiPriority w:val="1"/>
    <w:pPr>
      <w:jc w:val="center"/>
      <w:outlineLvl w:val="3"/>
    </w:pPr>
    <w:rPr>
      <w:rFonts w:ascii="宋体" w:hAnsi="宋体" w:cs="宋体"/>
      <w:b/>
      <w:bCs/>
      <w:sz w:val="31"/>
      <w:szCs w:val="31"/>
      <w:lang w:val="zh-CN" w:bidi="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等线" w:hAnsi="等线" w:eastAsia="等线"/>
      <w:szCs w:val="22"/>
    </w:rPr>
  </w:style>
  <w:style w:type="paragraph" w:styleId="7">
    <w:name w:val="Normal Indent"/>
    <w:basedOn w:val="1"/>
    <w:next w:val="1"/>
    <w:link w:val="46"/>
    <w:qFormat/>
    <w:uiPriority w:val="0"/>
    <w:pPr>
      <w:ind w:firstLine="420"/>
    </w:pPr>
    <w:rPr>
      <w:rFonts w:ascii="Arial" w:hAnsi="Arial" w:eastAsia="楷体_GB2312"/>
      <w:kern w:val="0"/>
      <w:sz w:val="20"/>
      <w:szCs w:val="20"/>
    </w:rPr>
  </w:style>
  <w:style w:type="paragraph" w:styleId="8">
    <w:name w:val="Document Map"/>
    <w:basedOn w:val="1"/>
    <w:link w:val="47"/>
    <w:qFormat/>
    <w:uiPriority w:val="0"/>
    <w:rPr>
      <w:rFonts w:ascii="宋体"/>
      <w:sz w:val="18"/>
      <w:szCs w:val="18"/>
    </w:rPr>
  </w:style>
  <w:style w:type="paragraph" w:styleId="9">
    <w:name w:val="annotation text"/>
    <w:basedOn w:val="1"/>
    <w:link w:val="76"/>
    <w:qFormat/>
    <w:uiPriority w:val="0"/>
    <w:pPr>
      <w:jc w:val="left"/>
    </w:pPr>
  </w:style>
  <w:style w:type="paragraph" w:styleId="10">
    <w:name w:val="Body Text 3"/>
    <w:basedOn w:val="1"/>
    <w:qFormat/>
    <w:uiPriority w:val="0"/>
    <w:rPr>
      <w:rFonts w:ascii="仿宋_GB2312" w:hAnsi="Arial" w:eastAsia="仿宋_GB2312"/>
      <w:sz w:val="32"/>
      <w:szCs w:val="32"/>
    </w:rPr>
  </w:style>
  <w:style w:type="paragraph" w:styleId="11">
    <w:name w:val="Body Text"/>
    <w:basedOn w:val="1"/>
    <w:next w:val="12"/>
    <w:qFormat/>
    <w:uiPriority w:val="0"/>
    <w:rPr>
      <w:rFonts w:ascii="楷体_GB2312" w:hAnsi="Arial" w:eastAsia="楷体_GB2312"/>
      <w:sz w:val="28"/>
      <w:szCs w:val="20"/>
    </w:rPr>
  </w:style>
  <w:style w:type="paragraph" w:styleId="12">
    <w:name w:val="Body Text First Indent"/>
    <w:basedOn w:val="11"/>
    <w:qFormat/>
    <w:uiPriority w:val="0"/>
    <w:pPr>
      <w:autoSpaceDE w:val="0"/>
      <w:autoSpaceDN w:val="0"/>
      <w:adjustRightInd w:val="0"/>
      <w:spacing w:line="360" w:lineRule="auto"/>
      <w:ind w:firstLine="420" w:firstLineChars="200"/>
    </w:pPr>
    <w:rPr>
      <w:rFonts w:ascii="Arial"/>
      <w:kern w:val="0"/>
      <w:sz w:val="20"/>
      <w:szCs w:val="21"/>
    </w:rPr>
  </w:style>
  <w:style w:type="paragraph" w:styleId="13">
    <w:name w:val="Body Text Indent"/>
    <w:basedOn w:val="1"/>
    <w:qFormat/>
    <w:uiPriority w:val="99"/>
    <w:pPr>
      <w:ind w:firstLine="645"/>
    </w:pPr>
    <w:rPr>
      <w:rFonts w:ascii="楷体_GB2312" w:eastAsia="楷体_GB2312"/>
      <w:sz w:val="32"/>
      <w:szCs w:val="20"/>
    </w:rPr>
  </w:style>
  <w:style w:type="paragraph" w:styleId="14">
    <w:name w:val="index 4"/>
    <w:basedOn w:val="1"/>
    <w:next w:val="1"/>
    <w:unhideWhenUsed/>
    <w:qFormat/>
    <w:uiPriority w:val="99"/>
    <w:pPr>
      <w:spacing w:line="360" w:lineRule="auto"/>
      <w:ind w:firstLine="420" w:firstLineChars="200"/>
    </w:pPr>
    <w:rPr>
      <w:rFonts w:ascii="宋体" w:hAnsi="宋体"/>
      <w:szCs w:val="21"/>
    </w:rPr>
  </w:style>
  <w:style w:type="paragraph" w:styleId="15">
    <w:name w:val="toc 5"/>
    <w:basedOn w:val="1"/>
    <w:next w:val="1"/>
    <w:unhideWhenUsed/>
    <w:qFormat/>
    <w:uiPriority w:val="39"/>
    <w:pPr>
      <w:ind w:left="1680" w:leftChars="800"/>
    </w:pPr>
    <w:rPr>
      <w:rFonts w:ascii="等线" w:hAnsi="等线" w:eastAsia="等线"/>
      <w:szCs w:val="22"/>
    </w:rPr>
  </w:style>
  <w:style w:type="paragraph" w:styleId="16">
    <w:name w:val="toc 3"/>
    <w:basedOn w:val="1"/>
    <w:next w:val="1"/>
    <w:qFormat/>
    <w:uiPriority w:val="39"/>
    <w:pPr>
      <w:ind w:left="840" w:leftChars="400"/>
    </w:pPr>
  </w:style>
  <w:style w:type="paragraph" w:styleId="17">
    <w:name w:val="Plain Text"/>
    <w:basedOn w:val="1"/>
    <w:next w:val="7"/>
    <w:qFormat/>
    <w:uiPriority w:val="99"/>
    <w:rPr>
      <w:rFonts w:ascii="宋体" w:hAnsi="Courier New" w:cs="Courier New"/>
      <w:szCs w:val="21"/>
    </w:rPr>
  </w:style>
  <w:style w:type="paragraph" w:styleId="18">
    <w:name w:val="toc 8"/>
    <w:basedOn w:val="1"/>
    <w:next w:val="1"/>
    <w:unhideWhenUsed/>
    <w:qFormat/>
    <w:uiPriority w:val="39"/>
    <w:pPr>
      <w:ind w:left="2940" w:leftChars="1400"/>
    </w:pPr>
    <w:rPr>
      <w:rFonts w:ascii="等线" w:hAnsi="等线" w:eastAsia="等线"/>
      <w:szCs w:val="22"/>
    </w:rPr>
  </w:style>
  <w:style w:type="paragraph" w:styleId="19">
    <w:name w:val="Date"/>
    <w:basedOn w:val="1"/>
    <w:next w:val="1"/>
    <w:link w:val="48"/>
    <w:qFormat/>
    <w:uiPriority w:val="0"/>
    <w:pPr>
      <w:ind w:left="100" w:leftChars="2500"/>
    </w:pPr>
  </w:style>
  <w:style w:type="paragraph" w:styleId="20">
    <w:name w:val="Body Text Indent 2"/>
    <w:basedOn w:val="1"/>
    <w:qFormat/>
    <w:uiPriority w:val="0"/>
    <w:pPr>
      <w:snapToGrid w:val="0"/>
      <w:spacing w:line="400" w:lineRule="exact"/>
      <w:ind w:firstLine="480"/>
    </w:pPr>
    <w:rPr>
      <w:rFonts w:eastAsia="仿宋_GB2312"/>
      <w:sz w:val="24"/>
    </w:rPr>
  </w:style>
  <w:style w:type="paragraph" w:styleId="21">
    <w:name w:val="Balloon Text"/>
    <w:basedOn w:val="1"/>
    <w:link w:val="49"/>
    <w:qFormat/>
    <w:uiPriority w:val="0"/>
    <w:rPr>
      <w:sz w:val="18"/>
      <w:szCs w:val="18"/>
    </w:rPr>
  </w:style>
  <w:style w:type="paragraph" w:styleId="22">
    <w:name w:val="footer"/>
    <w:basedOn w:val="1"/>
    <w:link w:val="50"/>
    <w:qFormat/>
    <w:uiPriority w:val="99"/>
    <w:pPr>
      <w:tabs>
        <w:tab w:val="center" w:pos="4153"/>
        <w:tab w:val="right" w:pos="8306"/>
      </w:tabs>
      <w:snapToGrid w:val="0"/>
      <w:jc w:val="left"/>
    </w:pPr>
    <w:rPr>
      <w:sz w:val="18"/>
      <w:szCs w:val="20"/>
    </w:rPr>
  </w:style>
  <w:style w:type="paragraph" w:styleId="2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unhideWhenUsed/>
    <w:qFormat/>
    <w:uiPriority w:val="39"/>
    <w:pPr>
      <w:ind w:left="1260" w:leftChars="600"/>
    </w:pPr>
    <w:rPr>
      <w:rFonts w:ascii="等线" w:hAnsi="等线" w:eastAsia="等线"/>
      <w:szCs w:val="22"/>
    </w:rPr>
  </w:style>
  <w:style w:type="paragraph" w:styleId="26">
    <w:name w:val="Subtitle"/>
    <w:basedOn w:val="1"/>
    <w:next w:val="1"/>
    <w:link w:val="51"/>
    <w:qFormat/>
    <w:uiPriority w:val="0"/>
    <w:pPr>
      <w:spacing w:before="240" w:after="60" w:line="312" w:lineRule="auto"/>
      <w:jc w:val="center"/>
      <w:outlineLvl w:val="1"/>
    </w:pPr>
    <w:rPr>
      <w:rFonts w:ascii="等线 Light" w:hAnsi="等线 Light"/>
      <w:b/>
      <w:bCs/>
      <w:kern w:val="28"/>
      <w:sz w:val="32"/>
      <w:szCs w:val="32"/>
    </w:rPr>
  </w:style>
  <w:style w:type="paragraph" w:styleId="27">
    <w:name w:val="footnote text"/>
    <w:basedOn w:val="1"/>
    <w:qFormat/>
    <w:uiPriority w:val="0"/>
    <w:pPr>
      <w:snapToGrid w:val="0"/>
      <w:jc w:val="left"/>
    </w:pPr>
    <w:rPr>
      <w:sz w:val="18"/>
    </w:rPr>
  </w:style>
  <w:style w:type="paragraph" w:styleId="28">
    <w:name w:val="toc 6"/>
    <w:basedOn w:val="1"/>
    <w:next w:val="1"/>
    <w:unhideWhenUsed/>
    <w:qFormat/>
    <w:uiPriority w:val="39"/>
    <w:pPr>
      <w:ind w:left="2100" w:leftChars="1000"/>
    </w:pPr>
    <w:rPr>
      <w:rFonts w:ascii="等线" w:hAnsi="等线" w:eastAsia="等线"/>
      <w:szCs w:val="22"/>
    </w:rPr>
  </w:style>
  <w:style w:type="paragraph" w:styleId="29">
    <w:name w:val="Body Text Indent 3"/>
    <w:basedOn w:val="1"/>
    <w:link w:val="52"/>
    <w:qFormat/>
    <w:uiPriority w:val="0"/>
    <w:pPr>
      <w:ind w:left="520" w:firstLine="425"/>
      <w:jc w:val="center"/>
    </w:pPr>
    <w:rPr>
      <w:rFonts w:ascii="方正行楷简体" w:hAnsi="Arial" w:eastAsia="方正行楷简体"/>
      <w:sz w:val="36"/>
      <w:szCs w:val="20"/>
    </w:rPr>
  </w:style>
  <w:style w:type="paragraph" w:styleId="30">
    <w:name w:val="toc 2"/>
    <w:basedOn w:val="1"/>
    <w:next w:val="1"/>
    <w:qFormat/>
    <w:uiPriority w:val="39"/>
    <w:pPr>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3">
    <w:name w:val="annotation subject"/>
    <w:basedOn w:val="9"/>
    <w:next w:val="9"/>
    <w:link w:val="77"/>
    <w:qFormat/>
    <w:uiPriority w:val="0"/>
    <w:rPr>
      <w:b/>
      <w:bCs/>
    </w:rPr>
  </w:style>
  <w:style w:type="table" w:styleId="35">
    <w:name w:val="Table Grid"/>
    <w:basedOn w:val="34"/>
    <w:unhideWhenUse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0"/>
    <w:rPr>
      <w:b/>
    </w:rPr>
  </w:style>
  <w:style w:type="character" w:styleId="38">
    <w:name w:val="page number"/>
    <w:qFormat/>
    <w:uiPriority w:val="99"/>
  </w:style>
  <w:style w:type="character" w:styleId="39">
    <w:name w:val="FollowedHyperlink"/>
    <w:qFormat/>
    <w:uiPriority w:val="0"/>
    <w:rPr>
      <w:color w:val="333333"/>
      <w:u w:val="none"/>
    </w:rPr>
  </w:style>
  <w:style w:type="character" w:styleId="40">
    <w:name w:val="Hyperlink"/>
    <w:qFormat/>
    <w:uiPriority w:val="99"/>
    <w:rPr>
      <w:color w:val="0000FF"/>
      <w:u w:val="single"/>
    </w:rPr>
  </w:style>
  <w:style w:type="character" w:styleId="41">
    <w:name w:val="annotation reference"/>
    <w:basedOn w:val="36"/>
    <w:qFormat/>
    <w:uiPriority w:val="0"/>
    <w:rPr>
      <w:sz w:val="21"/>
      <w:szCs w:val="21"/>
    </w:rPr>
  </w:style>
  <w:style w:type="character" w:styleId="42">
    <w:name w:val="footnote reference"/>
    <w:basedOn w:val="36"/>
    <w:qFormat/>
    <w:uiPriority w:val="0"/>
    <w:rPr>
      <w:vertAlign w:val="superscript"/>
    </w:rPr>
  </w:style>
  <w:style w:type="paragraph" w:customStyle="1" w:styleId="43">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character" w:customStyle="1" w:styleId="44">
    <w:name w:val="标题 2 字符"/>
    <w:link w:val="3"/>
    <w:qFormat/>
    <w:uiPriority w:val="9"/>
    <w:rPr>
      <w:rFonts w:ascii="幼圆" w:hAnsi="Arial" w:eastAsia="楷体_GB2312"/>
      <w:b/>
      <w:sz w:val="44"/>
      <w:szCs w:val="20"/>
    </w:rPr>
  </w:style>
  <w:style w:type="character" w:customStyle="1" w:styleId="45">
    <w:name w:val="标题 3 字符"/>
    <w:link w:val="4"/>
    <w:qFormat/>
    <w:uiPriority w:val="9"/>
    <w:rPr>
      <w:b/>
      <w:sz w:val="32"/>
      <w:szCs w:val="20"/>
    </w:rPr>
  </w:style>
  <w:style w:type="character" w:customStyle="1" w:styleId="46">
    <w:name w:val="正文缩进 字符"/>
    <w:link w:val="7"/>
    <w:qFormat/>
    <w:uiPriority w:val="0"/>
    <w:rPr>
      <w:rFonts w:ascii="Arial" w:hAnsi="Arial" w:eastAsia="楷体_GB2312"/>
    </w:rPr>
  </w:style>
  <w:style w:type="character" w:customStyle="1" w:styleId="47">
    <w:name w:val="文档结构图 字符"/>
    <w:link w:val="8"/>
    <w:qFormat/>
    <w:uiPriority w:val="0"/>
    <w:rPr>
      <w:rFonts w:ascii="宋体"/>
      <w:kern w:val="2"/>
      <w:sz w:val="18"/>
      <w:szCs w:val="18"/>
    </w:rPr>
  </w:style>
  <w:style w:type="character" w:customStyle="1" w:styleId="48">
    <w:name w:val="日期 字符"/>
    <w:link w:val="19"/>
    <w:qFormat/>
    <w:uiPriority w:val="0"/>
    <w:rPr>
      <w:kern w:val="2"/>
      <w:sz w:val="21"/>
      <w:szCs w:val="24"/>
    </w:rPr>
  </w:style>
  <w:style w:type="character" w:customStyle="1" w:styleId="49">
    <w:name w:val="批注框文本 字符"/>
    <w:link w:val="21"/>
    <w:qFormat/>
    <w:uiPriority w:val="0"/>
    <w:rPr>
      <w:kern w:val="2"/>
      <w:sz w:val="18"/>
      <w:szCs w:val="18"/>
    </w:rPr>
  </w:style>
  <w:style w:type="character" w:customStyle="1" w:styleId="50">
    <w:name w:val="页脚 字符"/>
    <w:link w:val="22"/>
    <w:qFormat/>
    <w:uiPriority w:val="99"/>
    <w:rPr>
      <w:kern w:val="2"/>
      <w:sz w:val="18"/>
    </w:rPr>
  </w:style>
  <w:style w:type="character" w:customStyle="1" w:styleId="51">
    <w:name w:val="副标题 字符"/>
    <w:link w:val="26"/>
    <w:qFormat/>
    <w:uiPriority w:val="0"/>
    <w:rPr>
      <w:rFonts w:ascii="等线 Light" w:hAnsi="等线 Light" w:cs="Times New Roman"/>
      <w:b/>
      <w:bCs/>
      <w:kern w:val="28"/>
      <w:sz w:val="32"/>
      <w:szCs w:val="32"/>
    </w:rPr>
  </w:style>
  <w:style w:type="character" w:customStyle="1" w:styleId="52">
    <w:name w:val="正文文本缩进 3 字符"/>
    <w:link w:val="29"/>
    <w:qFormat/>
    <w:uiPriority w:val="0"/>
    <w:rPr>
      <w:rFonts w:ascii="方正行楷简体" w:hAnsi="Arial" w:eastAsia="方正行楷简体"/>
      <w:kern w:val="2"/>
      <w:sz w:val="36"/>
    </w:rPr>
  </w:style>
  <w:style w:type="paragraph" w:customStyle="1" w:styleId="53">
    <w:name w:val="Fließtext"/>
    <w:basedOn w:val="1"/>
    <w:qFormat/>
    <w:uiPriority w:val="0"/>
    <w:pPr>
      <w:overflowPunct w:val="0"/>
      <w:autoSpaceDE w:val="0"/>
      <w:autoSpaceDN w:val="0"/>
      <w:adjustRightInd w:val="0"/>
      <w:textAlignment w:val="baseline"/>
    </w:pPr>
    <w:rPr>
      <w:kern w:val="28"/>
      <w:szCs w:val="20"/>
    </w:rPr>
  </w:style>
  <w:style w:type="paragraph" w:customStyle="1" w:styleId="5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5">
    <w:name w:val="htd0"/>
    <w:qFormat/>
    <w:uiPriority w:val="0"/>
  </w:style>
  <w:style w:type="paragraph" w:customStyle="1" w:styleId="56">
    <w:name w:val="技术正文（深信服）"/>
    <w:basedOn w:val="1"/>
    <w:qFormat/>
    <w:uiPriority w:val="0"/>
    <w:pPr>
      <w:spacing w:line="360" w:lineRule="auto"/>
      <w:ind w:firstLine="480" w:firstLineChars="200"/>
    </w:pPr>
    <w:rPr>
      <w:kern w:val="0"/>
      <w:sz w:val="24"/>
      <w:szCs w:val="20"/>
    </w:rPr>
  </w:style>
  <w:style w:type="paragraph" w:customStyle="1" w:styleId="57">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
    <w:name w:val="列出段落11"/>
    <w:basedOn w:val="1"/>
    <w:qFormat/>
    <w:uiPriority w:val="34"/>
    <w:pPr>
      <w:ind w:firstLine="420" w:firstLineChars="200"/>
    </w:pPr>
  </w:style>
  <w:style w:type="paragraph" w:customStyle="1" w:styleId="59">
    <w:name w:val="样式 首行缩进:  2 字符"/>
    <w:basedOn w:val="1"/>
    <w:qFormat/>
    <w:uiPriority w:val="0"/>
    <w:pPr>
      <w:ind w:firstLine="480"/>
    </w:pPr>
    <w:rPr>
      <w:rFonts w:cs="宋体"/>
      <w:szCs w:val="20"/>
    </w:rPr>
  </w:style>
  <w:style w:type="paragraph" w:styleId="60">
    <w:name w:val="List Paragraph"/>
    <w:basedOn w:val="1"/>
    <w:link w:val="78"/>
    <w:qFormat/>
    <w:uiPriority w:val="34"/>
    <w:pPr>
      <w:ind w:firstLine="420" w:firstLineChars="200"/>
    </w:pPr>
    <w:rPr>
      <w:rFonts w:ascii="Calibri" w:hAnsi="Calibri"/>
      <w:szCs w:val="22"/>
    </w:rPr>
  </w:style>
  <w:style w:type="character" w:customStyle="1" w:styleId="61">
    <w:name w:val="NormalCharacter"/>
    <w:semiHidden/>
    <w:qFormat/>
    <w:uiPriority w:val="0"/>
  </w:style>
  <w:style w:type="paragraph" w:customStyle="1" w:styleId="62">
    <w:name w:val="Normal_0"/>
    <w:qFormat/>
    <w:uiPriority w:val="0"/>
    <w:rPr>
      <w:rFonts w:ascii="Times New Roman" w:hAnsi="Times New Roman" w:eastAsia="Times New Roman" w:cs="Times New Roman"/>
      <w:sz w:val="24"/>
      <w:szCs w:val="24"/>
      <w:lang w:val="en-US" w:eastAsia="zh-CN" w:bidi="ar-SA"/>
    </w:rPr>
  </w:style>
  <w:style w:type="paragraph" w:customStyle="1" w:styleId="63">
    <w:name w:val="TOC 标题1"/>
    <w:basedOn w:val="2"/>
    <w:next w:val="1"/>
    <w:qFormat/>
    <w:uiPriority w:val="39"/>
    <w:pPr>
      <w:keepLines/>
      <w:widowControl/>
      <w:spacing w:before="240" w:line="259" w:lineRule="auto"/>
      <w:outlineLvl w:val="9"/>
    </w:pPr>
    <w:rPr>
      <w:rFonts w:ascii="等线 Light" w:hAnsi="等线 Light" w:eastAsia="等线 Light"/>
      <w:color w:val="2F5496"/>
      <w:kern w:val="0"/>
      <w:sz w:val="32"/>
      <w:szCs w:val="32"/>
    </w:rPr>
  </w:style>
  <w:style w:type="paragraph" w:customStyle="1" w:styleId="64">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65">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Table Paragraph"/>
    <w:basedOn w:val="1"/>
    <w:qFormat/>
    <w:uiPriority w:val="1"/>
    <w:rPr>
      <w:rFonts w:ascii="宋体" w:hAnsi="宋体" w:cs="宋体"/>
      <w:lang w:val="zh-CN" w:bidi="zh-CN"/>
    </w:rPr>
  </w:style>
  <w:style w:type="character" w:customStyle="1" w:styleId="67">
    <w:name w:val="未处理的提及1"/>
    <w:unhideWhenUsed/>
    <w:qFormat/>
    <w:uiPriority w:val="99"/>
    <w:rPr>
      <w:color w:val="605E5C"/>
      <w:shd w:val="clear" w:color="auto" w:fill="E1DFDD"/>
    </w:rPr>
  </w:style>
  <w:style w:type="paragraph" w:customStyle="1" w:styleId="68">
    <w:name w:val="Normal_1"/>
    <w:qFormat/>
    <w:uiPriority w:val="0"/>
    <w:rPr>
      <w:rFonts w:ascii="Times New Roman" w:hAnsi="Times New Roman" w:eastAsia="Times New Roman" w:cs="Times New Roman"/>
      <w:sz w:val="24"/>
      <w:szCs w:val="24"/>
      <w:lang w:val="en-US" w:eastAsia="zh-CN" w:bidi="ar-SA"/>
    </w:rPr>
  </w:style>
  <w:style w:type="paragraph" w:customStyle="1" w:styleId="69">
    <w:name w:val="正文-奇安信"/>
    <w:basedOn w:val="1"/>
    <w:qFormat/>
    <w:uiPriority w:val="0"/>
    <w:pPr>
      <w:spacing w:line="360" w:lineRule="auto"/>
      <w:ind w:firstLine="420"/>
    </w:pPr>
    <w:rPr>
      <w:rFonts w:eastAsia="仿宋"/>
      <w:sz w:val="24"/>
      <w:szCs w:val="20"/>
    </w:rPr>
  </w:style>
  <w:style w:type="paragraph" w:customStyle="1" w:styleId="70">
    <w:name w:val="Normal_3"/>
    <w:qFormat/>
    <w:uiPriority w:val="0"/>
    <w:rPr>
      <w:rFonts w:ascii="Times New Roman" w:hAnsi="Times New Roman" w:eastAsia="Times New Roman" w:cs="Times New Roman"/>
      <w:sz w:val="24"/>
      <w:szCs w:val="24"/>
      <w:lang w:val="en-US" w:eastAsia="zh-CN" w:bidi="ar-SA"/>
    </w:rPr>
  </w:style>
  <w:style w:type="paragraph" w:customStyle="1" w:styleId="71">
    <w:name w:val="表格正文2"/>
    <w:basedOn w:val="1"/>
    <w:qFormat/>
    <w:uiPriority w:val="0"/>
    <w:pPr>
      <w:keepNext/>
      <w:widowControl/>
    </w:pPr>
    <w:rPr>
      <w:rFonts w:cs="宋体"/>
      <w:color w:val="000000"/>
      <w:kern w:val="0"/>
      <w:szCs w:val="21"/>
    </w:rPr>
  </w:style>
  <w:style w:type="paragraph" w:customStyle="1" w:styleId="72">
    <w:name w:val="Normal_5"/>
    <w:qFormat/>
    <w:uiPriority w:val="0"/>
    <w:rPr>
      <w:rFonts w:ascii="Times New Roman" w:hAnsi="Times New Roman" w:eastAsia="Times New Roman" w:cs="Times New Roman"/>
      <w:sz w:val="24"/>
      <w:szCs w:val="24"/>
      <w:lang w:val="en-US" w:eastAsia="zh-CN" w:bidi="ar-SA"/>
    </w:rPr>
  </w:style>
  <w:style w:type="paragraph" w:customStyle="1" w:styleId="73">
    <w:name w:val="标题二、"/>
    <w:basedOn w:val="1"/>
    <w:qFormat/>
    <w:uiPriority w:val="99"/>
    <w:pPr>
      <w:spacing w:line="360" w:lineRule="auto"/>
      <w:ind w:firstLine="200" w:firstLineChars="200"/>
      <w:outlineLvl w:val="2"/>
    </w:pPr>
    <w:rPr>
      <w:rFonts w:ascii="宋体" w:hAnsi="宋体"/>
      <w:b/>
      <w:szCs w:val="21"/>
    </w:rPr>
  </w:style>
  <w:style w:type="paragraph" w:customStyle="1" w:styleId="74">
    <w:name w:val="首行缩进"/>
    <w:basedOn w:val="1"/>
    <w:qFormat/>
    <w:uiPriority w:val="0"/>
    <w:pPr>
      <w:ind w:firstLine="480" w:firstLineChars="200"/>
    </w:pPr>
    <w:rPr>
      <w:szCs w:val="20"/>
    </w:rPr>
  </w:style>
  <w:style w:type="paragraph" w:customStyle="1" w:styleId="75">
    <w:name w:val="Normal_7"/>
    <w:qFormat/>
    <w:uiPriority w:val="0"/>
    <w:rPr>
      <w:rFonts w:ascii="Times New Roman" w:hAnsi="Times New Roman" w:eastAsia="Times New Roman" w:cs="Times New Roman"/>
      <w:sz w:val="24"/>
      <w:szCs w:val="24"/>
      <w:lang w:val="en-US" w:eastAsia="zh-CN" w:bidi="ar-SA"/>
    </w:rPr>
  </w:style>
  <w:style w:type="character" w:customStyle="1" w:styleId="76">
    <w:name w:val="批注文字 字符"/>
    <w:basedOn w:val="36"/>
    <w:link w:val="9"/>
    <w:qFormat/>
    <w:uiPriority w:val="0"/>
    <w:rPr>
      <w:kern w:val="2"/>
      <w:sz w:val="21"/>
      <w:szCs w:val="24"/>
    </w:rPr>
  </w:style>
  <w:style w:type="character" w:customStyle="1" w:styleId="77">
    <w:name w:val="批注主题 字符"/>
    <w:basedOn w:val="76"/>
    <w:link w:val="33"/>
    <w:qFormat/>
    <w:uiPriority w:val="0"/>
    <w:rPr>
      <w:kern w:val="2"/>
      <w:sz w:val="21"/>
      <w:szCs w:val="24"/>
    </w:rPr>
  </w:style>
  <w:style w:type="character" w:customStyle="1" w:styleId="78">
    <w:name w:val="列出段落 字符"/>
    <w:link w:val="60"/>
    <w:qFormat/>
    <w:uiPriority w:val="34"/>
    <w:rPr>
      <w:rFonts w:ascii="Calibri" w:hAnsi="Calibri"/>
      <w:kern w:val="2"/>
      <w:sz w:val="21"/>
      <w:szCs w:val="22"/>
    </w:rPr>
  </w:style>
  <w:style w:type="character" w:customStyle="1" w:styleId="79">
    <w:name w:val="页眉 字符"/>
    <w:basedOn w:val="36"/>
    <w:link w:val="23"/>
    <w:qFormat/>
    <w:uiPriority w:val="99"/>
    <w:rPr>
      <w:kern w:val="2"/>
      <w:sz w:val="18"/>
      <w:szCs w:val="18"/>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Table Text"/>
    <w:basedOn w:val="1"/>
    <w:semiHidden/>
    <w:qFormat/>
    <w:uiPriority w:val="0"/>
    <w:rPr>
      <w:rFonts w:ascii="宋体" w:hAnsi="宋体" w:cs="宋体"/>
      <w:sz w:val="24"/>
      <w:lang w:eastAsia="en-US"/>
    </w:rPr>
  </w:style>
  <w:style w:type="table" w:customStyle="1" w:styleId="82">
    <w:name w:val="Table Normal"/>
    <w:semiHidden/>
    <w:unhideWhenUsed/>
    <w:qFormat/>
    <w:uiPriority w:val="0"/>
    <w:tblPr>
      <w:tblCellMar>
        <w:top w:w="0" w:type="dxa"/>
        <w:left w:w="0" w:type="dxa"/>
        <w:bottom w:w="0" w:type="dxa"/>
        <w:right w:w="0" w:type="dxa"/>
      </w:tblCellMar>
    </w:tblPr>
  </w:style>
  <w:style w:type="paragraph" w:customStyle="1" w:styleId="83">
    <w:name w:val="p0"/>
    <w:basedOn w:val="1"/>
    <w:qFormat/>
    <w:uiPriority w:val="0"/>
    <w:pPr>
      <w:widowControl/>
      <w:spacing w:before="100" w:beforeAutospacing="1" w:after="100" w:afterAutospacing="1"/>
      <w:jc w:val="left"/>
    </w:pPr>
    <w:rPr>
      <w:rFonts w:ascii="Cambria" w:hAnsi="Cambria" w:cs="Cambri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2781</Words>
  <Characters>15854</Characters>
  <Lines>132</Lines>
  <Paragraphs>37</Paragraphs>
  <TotalTime>0</TotalTime>
  <ScaleCrop>false</ScaleCrop>
  <LinksUpToDate>false</LinksUpToDate>
  <CharactersWithSpaces>18598</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2024-05-25T10:16:00Z</dcterms:created>
  <dc:creator>Administrator</dc:creator>
  <cp:lastModifiedBy>Administrator</cp:lastModifiedBy>
  <cp:lastPrinted>2024-06-13T16:02:00Z</cp:lastPrinted>
  <dcterms:modified xsi:type="dcterms:W3CDTF">2026-05-20T07:24:38Z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DF1F9EDEBAE047E08A22996B954587B6_13</vt:lpwstr>
  </property>
  <property fmtid="{D5CDD505-2E9C-101B-9397-08002B2CF9AE}" pid="4" name="KSOTemplateDocerSaveRecord">
    <vt:lpwstr>eyJoZGlkIjoiZmI3ODk2YjViY2QwNGE4NDkxMDJkYjQ1MDI5YTkxMzgiLCJ1c2VySWQiOiIyMTk4OTAxMzQifQ==</vt:lpwstr>
  </property>
</Properties>
</file>